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17" w:rsidRDefault="00391C17">
      <w:r>
        <w:t>Vorname Name</w:t>
      </w:r>
    </w:p>
    <w:p w:rsidR="00391C17" w:rsidRDefault="00391C17">
      <w:r>
        <w:t>Straße Hausnummer</w:t>
      </w:r>
    </w:p>
    <w:p w:rsidR="00391C17" w:rsidRDefault="00391C17">
      <w:r>
        <w:t>PLZ Ort</w:t>
      </w:r>
    </w:p>
    <w:p w:rsidR="00391C17" w:rsidRDefault="00391C17"/>
    <w:p w:rsidR="00391C17" w:rsidRDefault="00391C17"/>
    <w:p w:rsidR="00391C17" w:rsidRDefault="00391C17" w:rsidP="006376F9">
      <w:r>
        <w:t>Behörde für Wirtschaft, Verkehr und Innovation</w:t>
      </w:r>
    </w:p>
    <w:p w:rsidR="00391C17" w:rsidRDefault="00391C17" w:rsidP="006376F9">
      <w:r>
        <w:t>Planfeststellungsbehörde</w:t>
      </w:r>
    </w:p>
    <w:p w:rsidR="00391C17" w:rsidRDefault="00391C17" w:rsidP="006376F9">
      <w:r>
        <w:t>Alter Steinweg 4</w:t>
      </w:r>
    </w:p>
    <w:p w:rsidR="00391C17" w:rsidRDefault="00391C17" w:rsidP="006376F9">
      <w:r>
        <w:t>20459 Hamburg</w:t>
      </w:r>
    </w:p>
    <w:p w:rsidR="00391C17" w:rsidRDefault="00391C17"/>
    <w:p w:rsidR="00391C17" w:rsidRDefault="00391C17"/>
    <w:p w:rsidR="00391C17" w:rsidRPr="006376F9" w:rsidRDefault="00391C17" w:rsidP="006376F9">
      <w:r>
        <w:t xml:space="preserve">Einwendung zum </w:t>
      </w:r>
      <w:r w:rsidRPr="006376F9">
        <w:t>Planfeststellungsverfahren zur Westerweiterung des EUROGATE Container Term</w:t>
      </w:r>
      <w:r w:rsidRPr="006376F9">
        <w:t>i</w:t>
      </w:r>
      <w:r w:rsidRPr="006376F9">
        <w:t>nal Hamburg (CTH)</w:t>
      </w:r>
    </w:p>
    <w:p w:rsidR="00391C17" w:rsidRDefault="00391C17"/>
    <w:p w:rsidR="00391C17" w:rsidRDefault="00391C17"/>
    <w:p w:rsidR="00391C17" w:rsidRDefault="00391C17">
      <w:r>
        <w:t>Hamburg, 01.02.2015</w:t>
      </w:r>
    </w:p>
    <w:p w:rsidR="00391C17" w:rsidRDefault="00391C17"/>
    <w:p w:rsidR="00391C17" w:rsidRDefault="00391C17"/>
    <w:p w:rsidR="00391C17" w:rsidRDefault="00391C17">
      <w:r>
        <w:t>Sehr geehrte Damen und Herren,</w:t>
      </w:r>
    </w:p>
    <w:p w:rsidR="00391C17" w:rsidRDefault="00391C17"/>
    <w:p w:rsidR="00391C17" w:rsidRDefault="00391C17" w:rsidP="006376F9">
      <w:r>
        <w:t>ich beantrage, die Planfeststellungsanträge zurückzuweisen und die Planung einzustellen. Hilfsweise beantrage ich, alle Maßnahmen anzuordnen, die Beeinträchtigungen durch das Vorhaben verhindern und festzustellen, dass alle verbleibenden Beeinträchtigungen durch Ausgleichsmaßnahmen ausz</w:t>
      </w:r>
      <w:r>
        <w:t>u</w:t>
      </w:r>
      <w:r>
        <w:t>gleichen sind.</w:t>
      </w:r>
    </w:p>
    <w:p w:rsidR="00391C17" w:rsidRDefault="00391C17" w:rsidP="006376F9"/>
    <w:p w:rsidR="00391C17" w:rsidRDefault="00391C17" w:rsidP="006376F9">
      <w:r>
        <w:t>In verfahrensrechtlicher Sicht beantrage ich hilfsweise den Antragstellern aufzuerlegen, die dargele</w:t>
      </w:r>
      <w:r>
        <w:t>g</w:t>
      </w:r>
      <w:r>
        <w:t>ten Mängel der Antragsunterlagen zu beheben und die ergänzten und korrigierten Unterlagen erneut auszulegen und mir erneut Gelegenheit zur Stellungnahme zu geben. Des Weiteren beantrage ich im Rahmen der Erörterung eine Ortsbesichtigung durchzuführen.</w:t>
      </w:r>
    </w:p>
    <w:p w:rsidR="00391C17" w:rsidRDefault="00391C17" w:rsidP="006376F9"/>
    <w:p w:rsidR="00391C17" w:rsidRDefault="00391C17" w:rsidP="006376F9">
      <w:r>
        <w:t>Weiter hilfsweise beantrage ich, mir zur Vorbereitung der Erörterung die Erwiderung der Antragste</w:t>
      </w:r>
      <w:r>
        <w:t>l</w:t>
      </w:r>
      <w:r>
        <w:t>ler auf meine Einwendung in vollständiger Kopie umgehend nach dem Eingang bei der Plan</w:t>
      </w:r>
      <w:r>
        <w:softHyphen/>
        <w:t>fest</w:t>
      </w:r>
      <w:r>
        <w:softHyphen/>
        <w:t>stellungsbehörde zur Verfügung zu stellen und mich über alle von den Antragstellern sowie den Tr</w:t>
      </w:r>
      <w:r>
        <w:t>ä</w:t>
      </w:r>
      <w:r>
        <w:t>gern öffentlicher Belange an die Planfeststellungsbehörden übermittelten weiteren Stellungnahmen und gutachterlichen Ausarbeitungen umgehend zu unterrichten und mir diese Durchsichten zur Ve</w:t>
      </w:r>
      <w:r>
        <w:t>r</w:t>
      </w:r>
      <w:r>
        <w:t>fügung zu stellen.</w:t>
      </w:r>
    </w:p>
    <w:p w:rsidR="00391C17" w:rsidRDefault="00391C17" w:rsidP="006376F9"/>
    <w:p w:rsidR="00391C17" w:rsidRDefault="00391C17" w:rsidP="006376F9"/>
    <w:p w:rsidR="00391C17" w:rsidRDefault="00391C17" w:rsidP="006376F9"/>
    <w:p w:rsidR="00391C17" w:rsidRDefault="00391C17" w:rsidP="006376F9">
      <w:r>
        <w:t>Meine Begründung für den Einwand:</w:t>
      </w:r>
    </w:p>
    <w:p w:rsidR="00391C17" w:rsidRDefault="00391C17" w:rsidP="006376F9">
      <w:r>
        <w:t xml:space="preserve">Die HPA beabsichtigt, in </w:t>
      </w:r>
      <w:proofErr w:type="spellStart"/>
      <w:r>
        <w:t>Waltershof</w:t>
      </w:r>
      <w:proofErr w:type="spellEnd"/>
      <w:r>
        <w:t xml:space="preserve"> am </w:t>
      </w:r>
      <w:proofErr w:type="spellStart"/>
      <w:r>
        <w:t>Bubendeyufer</w:t>
      </w:r>
      <w:proofErr w:type="spellEnd"/>
      <w:r>
        <w:t xml:space="preserve"> am Südufer der Elbe und im Bereich des Par</w:t>
      </w:r>
      <w:r>
        <w:t>k</w:t>
      </w:r>
      <w:r>
        <w:t>hafens die Infrastruktur für einen neuen Containerterminal zu schaffen. Dieser Terminal soll den b</w:t>
      </w:r>
      <w:r>
        <w:t>e</w:t>
      </w:r>
      <w:r>
        <w:t>stehenden Containerterminal Hamburg (CTH) erweitern und von der Firma Eurogate betrieben we</w:t>
      </w:r>
      <w:r>
        <w:t>r</w:t>
      </w:r>
      <w:r>
        <w:t>den. Für das als „</w:t>
      </w:r>
      <w:r w:rsidRPr="006376F9">
        <w:t>Westerweiterung des EUROGATE Container Terminal Hamburg (CTH)</w:t>
      </w:r>
      <w:r>
        <w:t>“ bezeichnete Vorhaben wurde für Baumaßnahmen die Durchführung eines Planfeststellungsverfahren beantragt. Das Vorhaben verletzt mich in meinen Rechten bzw. rechtlich geschützten Belangen. Ich lehne das Vorhaben ab und erhebe vollumfänglich Einwendung gegen die Planung.</w:t>
      </w:r>
    </w:p>
    <w:p w:rsidR="00391C17" w:rsidRDefault="00391C17" w:rsidP="006376F9"/>
    <w:p w:rsidR="00391C17" w:rsidRDefault="00391C17" w:rsidP="006376F9">
      <w:r>
        <w:t>Die schädlichen Umweltauswirkungen des Vorhabens sind für mich als Einwohner der Elbvororte im hamburgischen Bezirk Altona insgesamt unzumutbar.</w:t>
      </w:r>
    </w:p>
    <w:p w:rsidR="00391C17" w:rsidRDefault="00391C17" w:rsidP="006376F9"/>
    <w:p w:rsidR="00391C17" w:rsidRDefault="00391C17" w:rsidP="006376F9">
      <w:r>
        <w:t>Das Vorhaben beeinträchtigt mich in meinen rechtlich geschützten Belangen sowohl während der Bau- als auch während der Betriebsphase. Rechtswidrige Beeinträchtigungen drohen durch Gesun</w:t>
      </w:r>
      <w:r>
        <w:t>d</w:t>
      </w:r>
      <w:r>
        <w:lastRenderedPageBreak/>
        <w:t>heitsschäden, Gesundheitsgefahren sowie Belästigungen durch Lärm-, Luft-, Lichtbelastungen, R</w:t>
      </w:r>
      <w:r>
        <w:t>a</w:t>
      </w:r>
      <w:r>
        <w:t>darstrahlungen, Gerüche, Erschütterungen, Wassergefahren und schädigende belastende Veränd</w:t>
      </w:r>
      <w:r>
        <w:t>e</w:t>
      </w:r>
      <w:r>
        <w:t xml:space="preserve">rung der Landschaft am Süd- und Nordufer der Elbe. Die Grenz- und Richtwerte nach Bundesrecht oder Hamburgischen Landesrecht werden überschritten. Das Naherholungsgebiet </w:t>
      </w:r>
      <w:proofErr w:type="spellStart"/>
      <w:r>
        <w:t>Oevelgönne</w:t>
      </w:r>
      <w:proofErr w:type="spellEnd"/>
      <w:r>
        <w:t xml:space="preserve"> wird schwer geschädigt.</w:t>
      </w:r>
    </w:p>
    <w:p w:rsidR="00391C17" w:rsidRDefault="00391C17" w:rsidP="006376F9"/>
    <w:p w:rsidR="00391C17" w:rsidRDefault="00391C17" w:rsidP="006376F9">
      <w:r>
        <w:t xml:space="preserve">Für die Planung besteht kein Bedarf. Es handelt sich um eine unzulässige Vorratsplanung. </w:t>
      </w:r>
    </w:p>
    <w:p w:rsidR="00391C17" w:rsidRDefault="00391C17" w:rsidP="006376F9"/>
    <w:p w:rsidR="00391C17" w:rsidRDefault="00391C17" w:rsidP="006376F9">
      <w:r>
        <w:t>Das Vorhaben ist für mich als Bürger und Steuerzahler eine einseitige Unterstützung des Unterne</w:t>
      </w:r>
      <w:r>
        <w:t>h</w:t>
      </w:r>
      <w:r>
        <w:t>mens Eurogate und belastet mich, ohne Nachweis eines Gewinns für das deutsche Gemeinwesen durch seine Kosten bzw. Folgekosten. Insbesondere durch die gesundheitsschädigende Wirkung des Vorhabens, die Zerstörung von Natur- und Erholungsraum sind für mich als Anwohner nicht zumu</w:t>
      </w:r>
      <w:r>
        <w:t>t</w:t>
      </w:r>
      <w:r>
        <w:t>bar.</w:t>
      </w:r>
    </w:p>
    <w:p w:rsidR="00391C17" w:rsidRDefault="00391C17" w:rsidP="006376F9"/>
    <w:p w:rsidR="00391C17" w:rsidRDefault="00391C17" w:rsidP="006376F9"/>
    <w:p w:rsidR="00391C17" w:rsidRDefault="00391C17">
      <w:pPr>
        <w:rPr>
          <w:b/>
        </w:rPr>
      </w:pPr>
      <w:r>
        <w:rPr>
          <w:b/>
        </w:rPr>
        <w:t>Einwendung zu Teil A.1, Unzureichende Darstellung des Vorhabens</w:t>
      </w:r>
    </w:p>
    <w:p w:rsidR="00391C17" w:rsidRDefault="00391C17">
      <w:r w:rsidRPr="00B1417C">
        <w:t xml:space="preserve">Das </w:t>
      </w:r>
      <w:r>
        <w:t>Vorhaben wird in dem Antrag auf Planfeststellung nur teilweise beschrieben und erfasst das G</w:t>
      </w:r>
      <w:r>
        <w:t>e</w:t>
      </w:r>
      <w:r>
        <w:t>samtvorhaben nicht. Als Gesamtvorhaben ist vielmehr der vollständige Neubau eines Containerte</w:t>
      </w:r>
      <w:r>
        <w:t>r</w:t>
      </w:r>
      <w:r>
        <w:t>minals mit einer jährlichen Umschlagskapazität von 2 Mio. TEU zu bezeichnen. Erforderliche Gene</w:t>
      </w:r>
      <w:r>
        <w:t>h</w:t>
      </w:r>
      <w:r>
        <w:t>migungen für die Einrichtung eines Terminalbetriebes sind nicht Gegenstand des Antrages und sollen durch den beantragten Planfeststellungsbeschluss nicht geregelt werden. Da somit im Planfestste</w:t>
      </w:r>
      <w:r>
        <w:t>l</w:t>
      </w:r>
      <w:r>
        <w:t>lungsverfahren lediglich ein Teil des Vorhabens beurteilt werden soll und nicht das gesamte Vorh</w:t>
      </w:r>
      <w:r>
        <w:t>a</w:t>
      </w:r>
      <w:r>
        <w:t>ben beurteilt werden kann, ist der Planfeststellungsantrag unvollständig und ist zurückzuweisen.</w:t>
      </w:r>
    </w:p>
    <w:p w:rsidR="00391C17" w:rsidRDefault="00391C17"/>
    <w:p w:rsidR="00391C17" w:rsidRDefault="00391C17">
      <w:r>
        <w:t>Wie man dem Hafenentwicklungsplan „Hamburg hält Kurs – Der Hafenentwicklungsplan bis 2025“ Seite 22 ff. entnehmen kann, ist das Vorhaben Westerweiterung Bestandteil der strategischen S</w:t>
      </w:r>
      <w:r>
        <w:t>e</w:t>
      </w:r>
      <w:r>
        <w:t xml:space="preserve">natsüberlegungen zu den Gesamt-Terminalkapazitäten des Hamburger Hafens. Die aus dem Betrieb der bestehenden Containerterminals in Altenwerder (CTA), Tollerort (CTT), </w:t>
      </w:r>
      <w:proofErr w:type="spellStart"/>
      <w:r>
        <w:t>Burchardkai</w:t>
      </w:r>
      <w:proofErr w:type="spellEnd"/>
      <w:r>
        <w:t xml:space="preserve"> (CTB) und </w:t>
      </w:r>
      <w:proofErr w:type="spellStart"/>
      <w:r>
        <w:t>Predöhlkai</w:t>
      </w:r>
      <w:proofErr w:type="spellEnd"/>
      <w:r>
        <w:t xml:space="preserve"> (CTH) verbundenen Belastungen der Allgemeinheit werden in den Antragsunterlagen nicht beschrieben</w:t>
      </w:r>
      <w:r w:rsidR="00E92499">
        <w:t>. Etwaige Planungsalternativen,</w:t>
      </w:r>
      <w:r>
        <w:t xml:space="preserve"> wie z.B. am CTS in Steinwerder, bleiben ebenfalls unberücksichtigt. Eine im Rahmen einer Planfeststellung erforderliche Gesamtbetrachtung aller Au</w:t>
      </w:r>
      <w:r>
        <w:t>s</w:t>
      </w:r>
      <w:r>
        <w:t>wirkungen und Belastungen ist damit unmöglich.</w:t>
      </w:r>
    </w:p>
    <w:p w:rsidR="00391C17" w:rsidRDefault="00391C17"/>
    <w:p w:rsidR="00391C17" w:rsidRDefault="00391C17" w:rsidP="00E17014">
      <w:r>
        <w:t>Da es sich um eine Hafengesamtplanung für den Hamburger Containerumschlag handelt, ist es unz</w:t>
      </w:r>
      <w:r>
        <w:t>u</w:t>
      </w:r>
      <w:r>
        <w:t>lässig, eine schrittweise Planung vorzunehmen, bei der die Bevölkerung in kleinen Schritten einer immer größeren Belastung aus dem Containerumschlag ausgesetzt wird. Das Vorhaben Westerweit</w:t>
      </w:r>
      <w:r>
        <w:t>e</w:t>
      </w:r>
      <w:r>
        <w:t>rung ist neben den bereits vorliegenden Planfeststellungen zum</w:t>
      </w:r>
    </w:p>
    <w:p w:rsidR="00391C17" w:rsidRDefault="00391C17" w:rsidP="00CB079F">
      <w:pPr>
        <w:pStyle w:val="Listenabsatz"/>
        <w:numPr>
          <w:ilvl w:val="0"/>
          <w:numId w:val="1"/>
        </w:numPr>
      </w:pPr>
      <w:r>
        <w:t xml:space="preserve">Vorhaben „Ausbau </w:t>
      </w:r>
      <w:proofErr w:type="spellStart"/>
      <w:r>
        <w:t>Burchardkai</w:t>
      </w:r>
      <w:proofErr w:type="spellEnd"/>
      <w:r>
        <w:t>, Liegeplätze 2-4“ mit zugehöriger Terminalbetriebserweit</w:t>
      </w:r>
      <w:r>
        <w:t>e</w:t>
      </w:r>
      <w:r>
        <w:t>rung am CTB durch Planfeststellungsbeschluss vom 22.02.2006,</w:t>
      </w:r>
    </w:p>
    <w:p w:rsidR="00391C17" w:rsidRDefault="00391C17" w:rsidP="00CB079F">
      <w:pPr>
        <w:pStyle w:val="Listenabsatz"/>
        <w:numPr>
          <w:ilvl w:val="0"/>
          <w:numId w:val="1"/>
        </w:numPr>
      </w:pPr>
      <w:r>
        <w:t>Vorhaben „</w:t>
      </w:r>
      <w:proofErr w:type="spellStart"/>
      <w:r>
        <w:t>Eurokai</w:t>
      </w:r>
      <w:proofErr w:type="spellEnd"/>
      <w:r>
        <w:t xml:space="preserve"> CTT“ für die Schaffung eines 5. Liegeplatzes mit zugehörigen Terminalb</w:t>
      </w:r>
      <w:r>
        <w:t>e</w:t>
      </w:r>
      <w:r>
        <w:t>triebserweiterung am CTT durch Planfeststellungsbeschluss vom 21.09.2011,</w:t>
      </w:r>
    </w:p>
    <w:p w:rsidR="00391C17" w:rsidRDefault="00391C17" w:rsidP="00CB079F">
      <w:pPr>
        <w:pStyle w:val="Listenabsatz"/>
        <w:numPr>
          <w:ilvl w:val="0"/>
          <w:numId w:val="1"/>
        </w:numPr>
      </w:pPr>
      <w:r>
        <w:t>Vorhaben „Altenwerder-CTA-Norderweiterung“ für die Schaffung eines weiteren Liegepla</w:t>
      </w:r>
      <w:r>
        <w:t>t</w:t>
      </w:r>
      <w:r>
        <w:t>zes mit einem neuen Terminal durch Planfeststellungsbeschluss vom 29.07.2014.</w:t>
      </w:r>
    </w:p>
    <w:p w:rsidR="00391C17" w:rsidRDefault="00391C17" w:rsidP="00CB079F">
      <w:pPr>
        <w:pStyle w:val="Listenabsatz"/>
        <w:numPr>
          <w:ilvl w:val="0"/>
          <w:numId w:val="1"/>
        </w:numPr>
      </w:pPr>
      <w:r>
        <w:t>Vorhaben „Verfüllung Südteil Steinwerder Hafen“ für die Schaffung weiterer Terminalflächen durch Planfeststellungsbeschluss vom 13.01.2014</w:t>
      </w:r>
    </w:p>
    <w:p w:rsidR="00391C17" w:rsidRDefault="00391C17"/>
    <w:p w:rsidR="00391C17" w:rsidRDefault="00391C17">
      <w:r>
        <w:t>jetzt das fünfte Vorhaben binnen 8 Jahren und zeigt die Salami-Taktik auf.</w:t>
      </w:r>
    </w:p>
    <w:p w:rsidR="00391C17" w:rsidRDefault="00391C17"/>
    <w:p w:rsidR="00391C17" w:rsidRDefault="00391C17">
      <w:r>
        <w:t>Um für das Planfeststellungsverfahren zur Westerweiterung einen Gesamtüberblick der Auswirku</w:t>
      </w:r>
      <w:r>
        <w:t>n</w:t>
      </w:r>
      <w:r>
        <w:t>gen zu erhalten, sind daher für CTA, CTT, CTB und CTH die bereits erteilten Planfeststellungsbeschlü</w:t>
      </w:r>
      <w:r>
        <w:t>s</w:t>
      </w:r>
      <w:r>
        <w:t>se samt Genehmigungen, Erlaubnisse und Unterlagen zum Betrieb der Terminals vorzulegen und darzustellen, welche Tätigkeiten ohne Genehmigungen oder Regelungen betrieben werden.</w:t>
      </w:r>
    </w:p>
    <w:p w:rsidR="00391C17" w:rsidRDefault="00391C17"/>
    <w:p w:rsidR="00391C17" w:rsidRPr="00A50553" w:rsidRDefault="00391C17" w:rsidP="006376F9">
      <w:pPr>
        <w:rPr>
          <w:b/>
        </w:rPr>
      </w:pPr>
      <w:r w:rsidRPr="00A50553">
        <w:rPr>
          <w:b/>
        </w:rPr>
        <w:lastRenderedPageBreak/>
        <w:t>Einwendung zu Teil A.2, Erläuterungsbericht</w:t>
      </w:r>
      <w:r>
        <w:rPr>
          <w:b/>
        </w:rPr>
        <w:t>,</w:t>
      </w:r>
      <w:r w:rsidRPr="00A50553">
        <w:rPr>
          <w:b/>
        </w:rPr>
        <w:t xml:space="preserve"> Bedarfsbegründung</w:t>
      </w:r>
    </w:p>
    <w:p w:rsidR="00391C17" w:rsidRDefault="00391C17" w:rsidP="006376F9">
      <w:r>
        <w:t>Das Vorhaben kann nicht gerechtfertigt werden, da ein Bedarf nicht vorhanden ist. Es handelt sich um eine unzulässige Vorratsplanung, die Eingriffe in meine Rechte bzw. rechtlich erheblichen Bela</w:t>
      </w:r>
      <w:r>
        <w:t>n</w:t>
      </w:r>
      <w:r>
        <w:t>ge nicht rechtfertigen kann.</w:t>
      </w:r>
    </w:p>
    <w:p w:rsidR="00391C17" w:rsidRDefault="00391C17" w:rsidP="006376F9"/>
    <w:p w:rsidR="00391C17" w:rsidRDefault="00391C17" w:rsidP="006376F9"/>
    <w:p w:rsidR="00391C17" w:rsidRDefault="00391C17" w:rsidP="000D16A8">
      <w:pPr>
        <w:pStyle w:val="Listenabsatz"/>
        <w:numPr>
          <w:ilvl w:val="0"/>
          <w:numId w:val="6"/>
        </w:numPr>
      </w:pPr>
      <w:r>
        <w:t>Der zuvor von mir erläuterten „Salami-Taktik“ in Bezug auf die Belastung der Bevölkerung durch Einzelvorhaben, wird bei der Bedarfsbegründung abweichend das gesamte Hamburger Hafenumschlagspotential dem gesamten Hamburger Kapazitätsplanungen gegenüber g</w:t>
      </w:r>
      <w:r>
        <w:t>e</w:t>
      </w:r>
      <w:r>
        <w:t>stellt, ohne Rücksicht auf die Wettbewerbssituation der Wettbewerber HHLA und Eurogate zu nehmen.</w:t>
      </w:r>
    </w:p>
    <w:p w:rsidR="00391C17" w:rsidRDefault="00391C17" w:rsidP="006376F9"/>
    <w:p w:rsidR="00391C17" w:rsidRDefault="00391C17" w:rsidP="000D16A8">
      <w:pPr>
        <w:pStyle w:val="Listenabsatz"/>
      </w:pPr>
      <w:r>
        <w:t>Diese Vorgehensweise ist zu simpel. Sie kommt einer dirigistischen Terminalkoordination über zwei privatwirtschaftlich agierende Unternehmen gleich. Der Umschlag muss bei Kap</w:t>
      </w:r>
      <w:r>
        <w:t>a</w:t>
      </w:r>
      <w:r>
        <w:t>zitätsengpässen eines Terminalbetriebs über eine staatliche Lenkungsbehörde auf die Term</w:t>
      </w:r>
      <w:r>
        <w:t>i</w:t>
      </w:r>
      <w:r>
        <w:t>nalbetreiber verteilt werden. Zum Beispiel: Die von Reedereien gebundenen Kapazitäten der HHLA-Terminals sind durch Schiffe an einem Tag vollkommen ausgelastet. Ein neues kunde</w:t>
      </w:r>
      <w:r>
        <w:t>n</w:t>
      </w:r>
      <w:r>
        <w:t>gebundenes HHLA-Schiff will in die Elbe einlaufen. Da alle HHLA-Terminals belegt sind, müs</w:t>
      </w:r>
      <w:r>
        <w:t>s</w:t>
      </w:r>
      <w:r>
        <w:t>te dieses nun durch eine staatliche Terminalkoordination zum Eurogate-Terminal CTH umg</w:t>
      </w:r>
      <w:r>
        <w:t>e</w:t>
      </w:r>
      <w:r>
        <w:t>lenkt werden.</w:t>
      </w:r>
    </w:p>
    <w:p w:rsidR="00391C17" w:rsidRDefault="00391C17" w:rsidP="000D16A8">
      <w:pPr>
        <w:pStyle w:val="Listenabsatz"/>
      </w:pPr>
    </w:p>
    <w:p w:rsidR="00391C17" w:rsidRDefault="00391C17" w:rsidP="000D16A8">
      <w:pPr>
        <w:pStyle w:val="Listenabsatz"/>
      </w:pPr>
      <w:r>
        <w:t>Solange eine derartige staatliche Terminalkoordination samt Gesetzesinitiativen für deren Einrichtung in den Planfeststellungsunterlagen nicht angeführt ist, ist eine derartige Hambu</w:t>
      </w:r>
      <w:r>
        <w:t>r</w:t>
      </w:r>
      <w:r>
        <w:t>ger Kapazitätsplanung falsch. Ich fordere eine Überarbeitung der Planungsunterlagen.</w:t>
      </w:r>
    </w:p>
    <w:p w:rsidR="00391C17" w:rsidRDefault="00391C17" w:rsidP="000D16A8">
      <w:pPr>
        <w:pStyle w:val="Listenabsatz"/>
      </w:pPr>
    </w:p>
    <w:p w:rsidR="00391C17" w:rsidRDefault="00391C17" w:rsidP="000D16A8">
      <w:pPr>
        <w:pStyle w:val="Listenabsatz"/>
      </w:pPr>
      <w:r>
        <w:t>Sollte eine derartige Aufgabe einer derartigen Terminalkoordination etwa über die in 2014 installierte privatwirtschaftliche NTK vorgesehen sein, fordere ich, dass diese Erweiterung der NTK-Aufgaben in den Planfeststellungsunterlagen anzuführen ist und durch ein kartel</w:t>
      </w:r>
      <w:r>
        <w:t>l</w:t>
      </w:r>
      <w:r>
        <w:t>rechtliches Gutachten hinterlegt wird.</w:t>
      </w:r>
    </w:p>
    <w:p w:rsidR="00391C17" w:rsidRDefault="00391C17" w:rsidP="006376F9"/>
    <w:p w:rsidR="00391C17" w:rsidRDefault="00391C17" w:rsidP="006376F9"/>
    <w:p w:rsidR="00391C17" w:rsidRDefault="00391C17" w:rsidP="000D16A8">
      <w:pPr>
        <w:pStyle w:val="Listenabsatz"/>
        <w:numPr>
          <w:ilvl w:val="0"/>
          <w:numId w:val="6"/>
        </w:numPr>
      </w:pPr>
      <w:r>
        <w:t>Es werden die von dem Terminalbetreiber HHLA bis 2018 angekündigten Kapazitätssteig</w:t>
      </w:r>
      <w:r>
        <w:t>e</w:t>
      </w:r>
      <w:r>
        <w:t>rungen durch Produktivitätssteigerungen unterschlagen, ebenso auch die Kapazitätspotenti</w:t>
      </w:r>
      <w:r>
        <w:t>a</w:t>
      </w:r>
      <w:r>
        <w:t>le.</w:t>
      </w:r>
    </w:p>
    <w:p w:rsidR="00391C17" w:rsidRDefault="00391C17" w:rsidP="000D16A8">
      <w:pPr>
        <w:pStyle w:val="Listenabsatz"/>
      </w:pPr>
    </w:p>
    <w:p w:rsidR="00391C17" w:rsidRDefault="00391C17" w:rsidP="000D16A8">
      <w:pPr>
        <w:pStyle w:val="Listenabsatz"/>
      </w:pPr>
      <w:r>
        <w:t>Die von der HHLA bereits bis 2018 angekündigten Produktivitätssteigerungen führen zu einer Kapazitätssteigerung von rund 780.000 TEU. Die durch tarifliche Änderungen für die HHLA-Arbeit</w:t>
      </w:r>
      <w:r>
        <w:softHyphen/>
        <w:t>nehmerschaft hervorgerufene Produktivitätsstagnation ist hier unberücksichtigt. Bei Eurogate bleiben mögliche Kapazitätssteigerungen auf den bestehenden Terminalflächen, die sich z.B. aus der geringen Höhe der CTH-Van-</w:t>
      </w:r>
      <w:proofErr w:type="spellStart"/>
      <w:r>
        <w:t>Carrier</w:t>
      </w:r>
      <w:proofErr w:type="spellEnd"/>
      <w:r>
        <w:t xml:space="preserve"> und den </w:t>
      </w:r>
      <w:r w:rsidR="001F770E">
        <w:t xml:space="preserve">daraus resultierenden </w:t>
      </w:r>
      <w:r>
        <w:t>Co</w:t>
      </w:r>
      <w:r>
        <w:t>n</w:t>
      </w:r>
      <w:r>
        <w:t>tainerstapelhöhen ergeben, unberücksichtigt. Auch die Einführung der wesentlich produkt</w:t>
      </w:r>
      <w:r>
        <w:t>i</w:t>
      </w:r>
      <w:r>
        <w:t>veren Terminaltechnik vom CTA bleibt unberücksichtigt. Es wird nicht einmal auf die unte</w:t>
      </w:r>
      <w:r>
        <w:t>r</w:t>
      </w:r>
      <w:r>
        <w:t>schiedlichen Flächenproduktivitätsunterschiede der Hamburger Terminals eingegangen. O</w:t>
      </w:r>
      <w:r>
        <w:t>b</w:t>
      </w:r>
      <w:r>
        <w:t>wohl CTH hier an letzter Stelle liegt, bleibt der Sachverhalt unberüc</w:t>
      </w:r>
      <w:r>
        <w:t>k</w:t>
      </w:r>
      <w:r>
        <w:t>sichtigt.</w:t>
      </w:r>
    </w:p>
    <w:p w:rsidR="00391C17" w:rsidRDefault="00391C17" w:rsidP="000D16A8">
      <w:pPr>
        <w:pStyle w:val="Listenabsatz"/>
      </w:pPr>
    </w:p>
    <w:p w:rsidR="00391C17" w:rsidRDefault="00391C17" w:rsidP="000D16A8">
      <w:pPr>
        <w:pStyle w:val="Listenabsatz"/>
      </w:pPr>
      <w:r>
        <w:t>Bei Berücksichtigung der angekündigten und möglichen Kapazitätssteigerungen im Hambu</w:t>
      </w:r>
      <w:r>
        <w:t>r</w:t>
      </w:r>
      <w:r>
        <w:t>ger Hafen ergeben sich Umschlagskapazitäten für das Jahr 2018 von deutlich über 19 Mio. TEU. Da weder Ausführungen zu den angekündigten Kapazitätssteigerungen, zu den Kapaz</w:t>
      </w:r>
      <w:r>
        <w:t>i</w:t>
      </w:r>
      <w:r>
        <w:t>tätspotentialen und zur Flächenproduktivität der einzelnen Terminals getroffen werden, ist es unmöglich zu entscheiden, ob das Vorhaben der CTH-Erweiterung die angebliche „Ultima Ratio“ ist, oder ob Alternativen bestehen.</w:t>
      </w:r>
    </w:p>
    <w:p w:rsidR="00391C17" w:rsidRDefault="00391C17" w:rsidP="000D16A8">
      <w:pPr>
        <w:pStyle w:val="Listenabsatz"/>
      </w:pPr>
    </w:p>
    <w:p w:rsidR="00391C17" w:rsidRDefault="00391C17" w:rsidP="000D16A8">
      <w:pPr>
        <w:pStyle w:val="Listenabsatz"/>
      </w:pPr>
      <w:r>
        <w:lastRenderedPageBreak/>
        <w:t>Ich fordere daher, dass jeweils für die einzelnen Terminals die angekündigten Kapazitätsste</w:t>
      </w:r>
      <w:r>
        <w:t>i</w:t>
      </w:r>
      <w:r>
        <w:t>gerungen, die Kapazitätspotentiale und die Flächenproduktivität dargelegt werden und pl</w:t>
      </w:r>
      <w:r>
        <w:t>a</w:t>
      </w:r>
      <w:r>
        <w:t>nerische Alternativen mittels Potentialumsetzungen beschrieben werden. Ich fordere, dass die vorgenannten offensichtlichen Kapazitätsvorräte in die Planfeststellungsunterlagen ei</w:t>
      </w:r>
      <w:r>
        <w:t>n</w:t>
      </w:r>
      <w:r>
        <w:t>gearbeitet werden.</w:t>
      </w:r>
    </w:p>
    <w:p w:rsidR="00391C17" w:rsidRDefault="00391C17" w:rsidP="006376F9"/>
    <w:p w:rsidR="00391C17" w:rsidRDefault="00391C17" w:rsidP="006376F9"/>
    <w:p w:rsidR="00391C17" w:rsidRDefault="00391C17" w:rsidP="000D16A8">
      <w:pPr>
        <w:pStyle w:val="Listenabsatz"/>
        <w:numPr>
          <w:ilvl w:val="0"/>
          <w:numId w:val="6"/>
        </w:numPr>
      </w:pPr>
      <w:r>
        <w:t xml:space="preserve">Die im Erläuterungsbericht angeführten Gutachten für die Bedarfsbegründung entstammen den Jahren 2001, erneuert 2007 und lassen die in 2007/2008 aus der Weltwirtschaftskrise eingetretenen Bedarfsänderungen vollständig unberücksichtigt. Von dem Jahr 2008 bis in das Jahr 2015 haben sich die Umschlagszahlen im Hamburger Hafen noch nicht einmal auf das Vorkrisenniveau entwickelt, d.h. sie liegen weiterhin unterhalb der bisherigen Rekordzahl aus 2007 mit 9,89 Mio. TEU Umschlag. </w:t>
      </w:r>
    </w:p>
    <w:p w:rsidR="00391C17" w:rsidRDefault="00391C17" w:rsidP="000D16A8">
      <w:pPr>
        <w:pStyle w:val="Listenabsatz"/>
      </w:pPr>
    </w:p>
    <w:p w:rsidR="00391C17" w:rsidRDefault="00391C17" w:rsidP="000D16A8">
      <w:pPr>
        <w:pStyle w:val="Listenabsatz"/>
      </w:pPr>
      <w:r>
        <w:t>Die für das Vorhaben zur Westerweiterung angeführten Prognosen zur Entwicklung des Co</w:t>
      </w:r>
      <w:r>
        <w:t>n</w:t>
      </w:r>
      <w:r>
        <w:t>tainerumschlages wurden bereits in den o.a. Planfeststellungen für CTB, CTT und CTA ang</w:t>
      </w:r>
      <w:r>
        <w:t>e</w:t>
      </w:r>
      <w:r>
        <w:t>führt. Es hat sich für diese Vorhaben als nachweislich falsch erwiesen, die Bedarfsbegrü</w:t>
      </w:r>
      <w:r>
        <w:t>n</w:t>
      </w:r>
      <w:r>
        <w:t>dung mit den ISL-Prognosen aus 2004 für ein Umschlagspotenzial von 18,1 Mio. TEU für das Jahr 2015 zu verwenden. Ich fordere, dass diese Prognose nicht als Basis für die Entscheidung zum Vorhaben zur Westerweiterung herangezogen werden darf.</w:t>
      </w:r>
    </w:p>
    <w:p w:rsidR="00391C17" w:rsidRDefault="00391C17" w:rsidP="000D16A8">
      <w:pPr>
        <w:pStyle w:val="Listenabsatz"/>
      </w:pPr>
    </w:p>
    <w:p w:rsidR="00391C17" w:rsidRDefault="00391C17" w:rsidP="000D16A8">
      <w:pPr>
        <w:pStyle w:val="Listenabsatz"/>
      </w:pPr>
      <w:r>
        <w:t>Vielmehr müssen für die Entscheidung andere offizielle Prognosen und Kennzahlen für die Beurteilung herangezogen und berücksichtigt werden:</w:t>
      </w:r>
    </w:p>
    <w:p w:rsidR="00391C17" w:rsidRDefault="00391C17" w:rsidP="000D16A8">
      <w:pPr>
        <w:pStyle w:val="Listenabsatz"/>
      </w:pPr>
    </w:p>
    <w:p w:rsidR="00391C17" w:rsidRDefault="00391C17" w:rsidP="000D16A8">
      <w:pPr>
        <w:pStyle w:val="Listenabsatz"/>
        <w:numPr>
          <w:ilvl w:val="2"/>
          <w:numId w:val="8"/>
        </w:numPr>
      </w:pPr>
      <w:r w:rsidRPr="00645EEF">
        <w:rPr>
          <w:b/>
        </w:rPr>
        <w:t>Berücksichtigung der Verkehrsverflechtungsprognose 2030 mit der von der MWB GmbH integrierten „Seeverkehrsprognose 2030“ vom 13.06.2014.</w:t>
      </w:r>
      <w:r>
        <w:t xml:space="preserve"> Im Gegensatz zu den von den </w:t>
      </w:r>
      <w:proofErr w:type="spellStart"/>
      <w:r>
        <w:t>Vorhabensbetreibern</w:t>
      </w:r>
      <w:proofErr w:type="spellEnd"/>
      <w:r>
        <w:t xml:space="preserve"> angeführten Prognosen geht diese von der Bundesregi</w:t>
      </w:r>
      <w:r>
        <w:t>e</w:t>
      </w:r>
      <w:r>
        <w:t>rung erstellte Prognose von einer „spürbaren Verringerung der Wachstumsraten beim Containerumschlag der deutschen Seehäfen bis zum Jahr 2030“ aus. Für den Hamburger Hafen werden für das Jahr 2030 in einem oberen Szenario 16,9 Mio. TEU Umschlag pro</w:t>
      </w:r>
      <w:r>
        <w:t>g</w:t>
      </w:r>
      <w:r>
        <w:t>nostiziert.</w:t>
      </w:r>
    </w:p>
    <w:p w:rsidR="00391C17" w:rsidRDefault="00391C17" w:rsidP="00645EEF">
      <w:pPr>
        <w:pStyle w:val="Listenabsatz"/>
      </w:pPr>
    </w:p>
    <w:p w:rsidR="00391C17" w:rsidRPr="000D16A8" w:rsidRDefault="00391C17" w:rsidP="000D16A8">
      <w:pPr>
        <w:pStyle w:val="Listenabsatz"/>
        <w:numPr>
          <w:ilvl w:val="2"/>
          <w:numId w:val="8"/>
        </w:numPr>
      </w:pPr>
      <w:r w:rsidRPr="00645EEF">
        <w:rPr>
          <w:b/>
        </w:rPr>
        <w:t>Berücksichtigung der tatsächlichen IST-Umschlagszahlen des Hamburger Hafens und des Eurogate Terminal CTH für den Zeitraum von 2007 bis 2014.</w:t>
      </w:r>
      <w:r w:rsidRPr="000D16A8">
        <w:rPr>
          <w:b/>
        </w:rPr>
        <w:t xml:space="preserve"> </w:t>
      </w:r>
      <w:r w:rsidRPr="000D16A8">
        <w:t>Diese stellen sich laut amtlicher Statistiken des Statistikamtes Nord</w:t>
      </w:r>
      <w:r w:rsidRPr="007440E5">
        <w:rPr>
          <w:vertAlign w:val="superscript"/>
        </w:rPr>
        <w:footnoteReference w:id="1"/>
      </w:r>
      <w:r w:rsidRPr="000D16A8">
        <w:t xml:space="preserve"> und Angaben der Terminalbetreiber Eur</w:t>
      </w:r>
      <w:r w:rsidRPr="000D16A8">
        <w:t>o</w:t>
      </w:r>
      <w:r w:rsidRPr="000D16A8">
        <w:t>gate und HHLA zu den TEU-Umschlagszahlen in Stück und deren prozentuale Aufteilung auf die Terminalbetreiber (HHLA mit CTA, CTB und CTT ohne Terminal Odessa</w:t>
      </w:r>
      <w:r w:rsidRPr="007440E5">
        <w:rPr>
          <w:vertAlign w:val="superscript"/>
        </w:rPr>
        <w:footnoteReference w:id="2"/>
      </w:r>
      <w:r w:rsidRPr="000D16A8">
        <w:t>), Eurogate CTH</w:t>
      </w:r>
      <w:r w:rsidRPr="007440E5">
        <w:rPr>
          <w:vertAlign w:val="superscript"/>
        </w:rPr>
        <w:footnoteReference w:id="3"/>
      </w:r>
      <w:r w:rsidRPr="000D16A8">
        <w:t xml:space="preserve"> und Sonstige wie folgt dar:</w:t>
      </w:r>
    </w:p>
    <w:p w:rsidR="00853DF8" w:rsidRDefault="00853DF8">
      <w:pPr>
        <w:jc w:val="left"/>
      </w:pPr>
      <w:r>
        <w:br w:type="page"/>
      </w:r>
    </w:p>
    <w:p w:rsidR="00391C17" w:rsidRPr="000D16A8" w:rsidRDefault="00391C17" w:rsidP="006376F9"/>
    <w:tbl>
      <w:tblPr>
        <w:tblW w:w="9463" w:type="dxa"/>
        <w:tblInd w:w="53" w:type="dxa"/>
        <w:tblCellMar>
          <w:left w:w="70" w:type="dxa"/>
          <w:right w:w="70" w:type="dxa"/>
        </w:tblCellMar>
        <w:tblLook w:val="00A0"/>
      </w:tblPr>
      <w:tblGrid>
        <w:gridCol w:w="1200"/>
        <w:gridCol w:w="1257"/>
        <w:gridCol w:w="1738"/>
        <w:gridCol w:w="917"/>
        <w:gridCol w:w="1284"/>
        <w:gridCol w:w="851"/>
        <w:gridCol w:w="1417"/>
        <w:gridCol w:w="799"/>
      </w:tblGrid>
      <w:tr w:rsidR="00391C17" w:rsidRPr="00BE2F57" w:rsidTr="00AC3E65">
        <w:trPr>
          <w:trHeight w:val="300"/>
        </w:trPr>
        <w:tc>
          <w:tcPr>
            <w:tcW w:w="1200" w:type="dxa"/>
            <w:tcBorders>
              <w:top w:val="single" w:sz="8" w:space="0" w:color="auto"/>
              <w:left w:val="single" w:sz="8" w:space="0" w:color="auto"/>
              <w:bottom w:val="nil"/>
              <w:right w:val="nil"/>
            </w:tcBorders>
            <w:noWrap/>
            <w:vAlign w:val="bottom"/>
          </w:tcPr>
          <w:p w:rsidR="00391C17" w:rsidRPr="006376F9" w:rsidRDefault="00391C17" w:rsidP="006376F9">
            <w:pPr>
              <w:jc w:val="center"/>
              <w:rPr>
                <w:color w:val="000000"/>
                <w:lang w:eastAsia="de-DE"/>
              </w:rPr>
            </w:pPr>
            <w:r w:rsidRPr="006376F9">
              <w:rPr>
                <w:color w:val="000000"/>
                <w:lang w:eastAsia="de-DE"/>
              </w:rPr>
              <w:t> </w:t>
            </w:r>
          </w:p>
        </w:tc>
        <w:tc>
          <w:tcPr>
            <w:tcW w:w="1257" w:type="dxa"/>
            <w:tcBorders>
              <w:top w:val="single" w:sz="8" w:space="0" w:color="auto"/>
              <w:left w:val="nil"/>
              <w:bottom w:val="nil"/>
              <w:right w:val="single" w:sz="8" w:space="0" w:color="auto"/>
            </w:tcBorders>
            <w:noWrap/>
            <w:vAlign w:val="bottom"/>
          </w:tcPr>
          <w:p w:rsidR="00391C17" w:rsidRPr="006376F9" w:rsidRDefault="00391C17" w:rsidP="006376F9">
            <w:pPr>
              <w:jc w:val="center"/>
              <w:rPr>
                <w:b/>
                <w:bCs/>
                <w:color w:val="000000"/>
                <w:lang w:eastAsia="de-DE"/>
              </w:rPr>
            </w:pPr>
            <w:r w:rsidRPr="006376F9">
              <w:rPr>
                <w:b/>
                <w:bCs/>
                <w:color w:val="000000"/>
                <w:lang w:eastAsia="de-DE"/>
              </w:rPr>
              <w:t>Hamburg</w:t>
            </w:r>
          </w:p>
        </w:tc>
        <w:tc>
          <w:tcPr>
            <w:tcW w:w="2655" w:type="dxa"/>
            <w:gridSpan w:val="2"/>
            <w:tcBorders>
              <w:top w:val="single" w:sz="8" w:space="0" w:color="auto"/>
              <w:left w:val="nil"/>
              <w:bottom w:val="nil"/>
              <w:right w:val="single" w:sz="8" w:space="0" w:color="000000"/>
            </w:tcBorders>
            <w:noWrap/>
            <w:vAlign w:val="bottom"/>
          </w:tcPr>
          <w:p w:rsidR="00391C17" w:rsidRPr="006376F9" w:rsidRDefault="00391C17" w:rsidP="006376F9">
            <w:pPr>
              <w:jc w:val="center"/>
              <w:rPr>
                <w:b/>
                <w:bCs/>
                <w:color w:val="000000"/>
                <w:lang w:eastAsia="de-DE"/>
              </w:rPr>
            </w:pPr>
            <w:r w:rsidRPr="006376F9">
              <w:rPr>
                <w:b/>
                <w:bCs/>
                <w:color w:val="000000"/>
                <w:lang w:eastAsia="de-DE"/>
              </w:rPr>
              <w:t>Eurogate</w:t>
            </w:r>
          </w:p>
        </w:tc>
        <w:tc>
          <w:tcPr>
            <w:tcW w:w="2135" w:type="dxa"/>
            <w:gridSpan w:val="2"/>
            <w:tcBorders>
              <w:top w:val="single" w:sz="8" w:space="0" w:color="auto"/>
              <w:left w:val="nil"/>
              <w:bottom w:val="nil"/>
              <w:right w:val="single" w:sz="8" w:space="0" w:color="000000"/>
            </w:tcBorders>
            <w:noWrap/>
            <w:vAlign w:val="bottom"/>
          </w:tcPr>
          <w:p w:rsidR="00391C17" w:rsidRPr="006376F9" w:rsidRDefault="00391C17" w:rsidP="006376F9">
            <w:pPr>
              <w:jc w:val="center"/>
              <w:rPr>
                <w:b/>
                <w:bCs/>
                <w:color w:val="000000"/>
                <w:lang w:eastAsia="de-DE"/>
              </w:rPr>
            </w:pPr>
            <w:r w:rsidRPr="006376F9">
              <w:rPr>
                <w:b/>
                <w:bCs/>
                <w:color w:val="000000"/>
                <w:lang w:eastAsia="de-DE"/>
              </w:rPr>
              <w:t>Sonstige</w:t>
            </w:r>
          </w:p>
        </w:tc>
        <w:tc>
          <w:tcPr>
            <w:tcW w:w="2216" w:type="dxa"/>
            <w:gridSpan w:val="2"/>
            <w:tcBorders>
              <w:top w:val="single" w:sz="8" w:space="0" w:color="auto"/>
              <w:left w:val="nil"/>
              <w:bottom w:val="nil"/>
              <w:right w:val="single" w:sz="8" w:space="0" w:color="000000"/>
            </w:tcBorders>
            <w:noWrap/>
            <w:vAlign w:val="bottom"/>
          </w:tcPr>
          <w:p w:rsidR="00391C17" w:rsidRPr="006376F9" w:rsidRDefault="00391C17" w:rsidP="006376F9">
            <w:pPr>
              <w:jc w:val="center"/>
              <w:rPr>
                <w:b/>
                <w:bCs/>
                <w:color w:val="000000"/>
                <w:lang w:eastAsia="de-DE"/>
              </w:rPr>
            </w:pPr>
            <w:r w:rsidRPr="006376F9">
              <w:rPr>
                <w:b/>
                <w:bCs/>
                <w:color w:val="000000"/>
                <w:lang w:eastAsia="de-DE"/>
              </w:rPr>
              <w:t xml:space="preserve">HHLA </w:t>
            </w:r>
            <w:r w:rsidRPr="006376F9">
              <w:rPr>
                <w:color w:val="000000"/>
                <w:sz w:val="16"/>
                <w:szCs w:val="16"/>
                <w:lang w:eastAsia="de-DE"/>
              </w:rPr>
              <w:t>ohne Odessa</w:t>
            </w:r>
          </w:p>
        </w:tc>
      </w:tr>
      <w:tr w:rsidR="00391C17" w:rsidRPr="00BE2F57" w:rsidTr="00AC3E65">
        <w:trPr>
          <w:trHeight w:val="225"/>
        </w:trPr>
        <w:tc>
          <w:tcPr>
            <w:tcW w:w="1200" w:type="dxa"/>
            <w:tcBorders>
              <w:top w:val="nil"/>
              <w:left w:val="single" w:sz="8" w:space="0" w:color="auto"/>
              <w:bottom w:val="nil"/>
              <w:right w:val="nil"/>
            </w:tcBorders>
            <w:noWrap/>
            <w:vAlign w:val="bottom"/>
          </w:tcPr>
          <w:p w:rsidR="00391C17" w:rsidRPr="006376F9" w:rsidRDefault="00391C17" w:rsidP="006376F9">
            <w:pPr>
              <w:jc w:val="center"/>
              <w:rPr>
                <w:color w:val="000000"/>
                <w:sz w:val="16"/>
                <w:szCs w:val="16"/>
                <w:lang w:eastAsia="de-DE"/>
              </w:rPr>
            </w:pPr>
            <w:r w:rsidRPr="006376F9">
              <w:rPr>
                <w:color w:val="000000"/>
                <w:sz w:val="16"/>
                <w:szCs w:val="16"/>
                <w:lang w:eastAsia="de-DE"/>
              </w:rPr>
              <w:t>Jahr</w:t>
            </w:r>
          </w:p>
        </w:tc>
        <w:tc>
          <w:tcPr>
            <w:tcW w:w="1257" w:type="dxa"/>
            <w:tcBorders>
              <w:top w:val="nil"/>
              <w:left w:val="nil"/>
              <w:bottom w:val="nil"/>
              <w:right w:val="single" w:sz="8" w:space="0" w:color="auto"/>
            </w:tcBorders>
            <w:noWrap/>
            <w:vAlign w:val="bottom"/>
          </w:tcPr>
          <w:p w:rsidR="00391C17" w:rsidRPr="006376F9" w:rsidRDefault="00391C17" w:rsidP="006376F9">
            <w:pPr>
              <w:jc w:val="left"/>
              <w:rPr>
                <w:color w:val="000000"/>
                <w:sz w:val="16"/>
                <w:szCs w:val="16"/>
                <w:lang w:eastAsia="de-DE"/>
              </w:rPr>
            </w:pPr>
            <w:r w:rsidRPr="006376F9">
              <w:rPr>
                <w:color w:val="000000"/>
                <w:sz w:val="16"/>
                <w:szCs w:val="16"/>
                <w:lang w:eastAsia="de-DE"/>
              </w:rPr>
              <w:t>Gesamtumschlag</w:t>
            </w:r>
          </w:p>
        </w:tc>
        <w:tc>
          <w:tcPr>
            <w:tcW w:w="1738" w:type="dxa"/>
            <w:tcBorders>
              <w:top w:val="nil"/>
              <w:left w:val="nil"/>
              <w:bottom w:val="nil"/>
              <w:right w:val="nil"/>
            </w:tcBorders>
            <w:noWrap/>
            <w:vAlign w:val="bottom"/>
          </w:tcPr>
          <w:p w:rsidR="00391C17" w:rsidRPr="006376F9" w:rsidRDefault="00391C17" w:rsidP="006376F9">
            <w:pPr>
              <w:jc w:val="center"/>
              <w:rPr>
                <w:color w:val="000000"/>
                <w:sz w:val="16"/>
                <w:szCs w:val="16"/>
                <w:lang w:eastAsia="de-DE"/>
              </w:rPr>
            </w:pPr>
            <w:r w:rsidRPr="006376F9">
              <w:rPr>
                <w:color w:val="000000"/>
                <w:sz w:val="16"/>
                <w:szCs w:val="16"/>
                <w:lang w:eastAsia="de-DE"/>
              </w:rPr>
              <w:t>Umschlag in TEU</w:t>
            </w:r>
          </w:p>
        </w:tc>
        <w:tc>
          <w:tcPr>
            <w:tcW w:w="917" w:type="dxa"/>
            <w:tcBorders>
              <w:top w:val="nil"/>
              <w:left w:val="nil"/>
              <w:bottom w:val="nil"/>
              <w:right w:val="single" w:sz="8" w:space="0" w:color="auto"/>
            </w:tcBorders>
            <w:noWrap/>
            <w:vAlign w:val="bottom"/>
          </w:tcPr>
          <w:p w:rsidR="00391C17" w:rsidRPr="006376F9" w:rsidRDefault="00391C17" w:rsidP="006376F9">
            <w:pPr>
              <w:jc w:val="center"/>
              <w:rPr>
                <w:color w:val="000000"/>
                <w:sz w:val="16"/>
                <w:szCs w:val="16"/>
                <w:lang w:eastAsia="de-DE"/>
              </w:rPr>
            </w:pPr>
            <w:r w:rsidRPr="006376F9">
              <w:rPr>
                <w:color w:val="000000"/>
                <w:sz w:val="16"/>
                <w:szCs w:val="16"/>
                <w:lang w:eastAsia="de-DE"/>
              </w:rPr>
              <w:t>Anteil</w:t>
            </w:r>
          </w:p>
        </w:tc>
        <w:tc>
          <w:tcPr>
            <w:tcW w:w="1284" w:type="dxa"/>
            <w:tcBorders>
              <w:top w:val="nil"/>
              <w:left w:val="nil"/>
              <w:bottom w:val="nil"/>
              <w:right w:val="nil"/>
            </w:tcBorders>
            <w:noWrap/>
            <w:vAlign w:val="bottom"/>
          </w:tcPr>
          <w:p w:rsidR="00391C17" w:rsidRPr="006376F9" w:rsidRDefault="00391C17" w:rsidP="006376F9">
            <w:pPr>
              <w:jc w:val="center"/>
              <w:rPr>
                <w:color w:val="000000"/>
                <w:sz w:val="16"/>
                <w:szCs w:val="16"/>
                <w:lang w:eastAsia="de-DE"/>
              </w:rPr>
            </w:pPr>
            <w:r w:rsidRPr="006376F9">
              <w:rPr>
                <w:color w:val="000000"/>
                <w:sz w:val="16"/>
                <w:szCs w:val="16"/>
                <w:lang w:eastAsia="de-DE"/>
              </w:rPr>
              <w:t>Umschlag in TEU</w:t>
            </w:r>
          </w:p>
        </w:tc>
        <w:tc>
          <w:tcPr>
            <w:tcW w:w="851" w:type="dxa"/>
            <w:tcBorders>
              <w:top w:val="nil"/>
              <w:left w:val="nil"/>
              <w:bottom w:val="nil"/>
              <w:right w:val="single" w:sz="8" w:space="0" w:color="auto"/>
            </w:tcBorders>
            <w:noWrap/>
            <w:vAlign w:val="bottom"/>
          </w:tcPr>
          <w:p w:rsidR="00391C17" w:rsidRPr="006376F9" w:rsidRDefault="00391C17" w:rsidP="006376F9">
            <w:pPr>
              <w:jc w:val="center"/>
              <w:rPr>
                <w:color w:val="000000"/>
                <w:sz w:val="16"/>
                <w:szCs w:val="16"/>
                <w:lang w:eastAsia="de-DE"/>
              </w:rPr>
            </w:pPr>
            <w:r w:rsidRPr="006376F9">
              <w:rPr>
                <w:color w:val="000000"/>
                <w:sz w:val="16"/>
                <w:szCs w:val="16"/>
                <w:lang w:eastAsia="de-DE"/>
              </w:rPr>
              <w:t>Anteil</w:t>
            </w:r>
          </w:p>
        </w:tc>
        <w:tc>
          <w:tcPr>
            <w:tcW w:w="1417" w:type="dxa"/>
            <w:tcBorders>
              <w:top w:val="nil"/>
              <w:left w:val="nil"/>
              <w:bottom w:val="nil"/>
              <w:right w:val="nil"/>
            </w:tcBorders>
            <w:noWrap/>
            <w:vAlign w:val="bottom"/>
          </w:tcPr>
          <w:p w:rsidR="00391C17" w:rsidRPr="006376F9" w:rsidRDefault="00391C17" w:rsidP="006376F9">
            <w:pPr>
              <w:jc w:val="center"/>
              <w:rPr>
                <w:color w:val="000000"/>
                <w:sz w:val="16"/>
                <w:szCs w:val="16"/>
                <w:lang w:eastAsia="de-DE"/>
              </w:rPr>
            </w:pPr>
            <w:r w:rsidRPr="006376F9">
              <w:rPr>
                <w:color w:val="000000"/>
                <w:sz w:val="16"/>
                <w:szCs w:val="16"/>
                <w:lang w:eastAsia="de-DE"/>
              </w:rPr>
              <w:t>Umschlag in TEU</w:t>
            </w:r>
          </w:p>
        </w:tc>
        <w:tc>
          <w:tcPr>
            <w:tcW w:w="799" w:type="dxa"/>
            <w:tcBorders>
              <w:top w:val="nil"/>
              <w:left w:val="nil"/>
              <w:bottom w:val="nil"/>
              <w:right w:val="single" w:sz="8" w:space="0" w:color="auto"/>
            </w:tcBorders>
            <w:noWrap/>
            <w:vAlign w:val="bottom"/>
          </w:tcPr>
          <w:p w:rsidR="00391C17" w:rsidRPr="006376F9" w:rsidRDefault="00391C17" w:rsidP="006376F9">
            <w:pPr>
              <w:jc w:val="center"/>
              <w:rPr>
                <w:color w:val="000000"/>
                <w:sz w:val="16"/>
                <w:szCs w:val="16"/>
                <w:lang w:eastAsia="de-DE"/>
              </w:rPr>
            </w:pPr>
            <w:r w:rsidRPr="006376F9">
              <w:rPr>
                <w:color w:val="000000"/>
                <w:sz w:val="16"/>
                <w:szCs w:val="16"/>
                <w:lang w:eastAsia="de-DE"/>
              </w:rPr>
              <w:t>Anteil</w:t>
            </w:r>
          </w:p>
        </w:tc>
      </w:tr>
      <w:tr w:rsidR="00391C17" w:rsidRPr="00BE2F57" w:rsidTr="00AC3E65">
        <w:trPr>
          <w:trHeight w:val="300"/>
        </w:trPr>
        <w:tc>
          <w:tcPr>
            <w:tcW w:w="1200" w:type="dxa"/>
            <w:tcBorders>
              <w:top w:val="nil"/>
              <w:left w:val="single" w:sz="8" w:space="0" w:color="auto"/>
              <w:bottom w:val="nil"/>
              <w:right w:val="nil"/>
            </w:tcBorders>
            <w:noWrap/>
            <w:vAlign w:val="bottom"/>
          </w:tcPr>
          <w:p w:rsidR="00391C17" w:rsidRPr="006376F9" w:rsidRDefault="00391C17" w:rsidP="006376F9">
            <w:pPr>
              <w:jc w:val="center"/>
              <w:rPr>
                <w:color w:val="000000"/>
                <w:lang w:eastAsia="de-DE"/>
              </w:rPr>
            </w:pPr>
            <w:r>
              <w:rPr>
                <w:color w:val="000000"/>
                <w:lang w:eastAsia="de-DE"/>
              </w:rPr>
              <w:t>2014</w:t>
            </w:r>
          </w:p>
        </w:tc>
        <w:tc>
          <w:tcPr>
            <w:tcW w:w="1257" w:type="dxa"/>
            <w:tcBorders>
              <w:top w:val="nil"/>
              <w:left w:val="nil"/>
              <w:bottom w:val="nil"/>
              <w:right w:val="single" w:sz="8" w:space="0" w:color="auto"/>
            </w:tcBorders>
            <w:noWrap/>
            <w:vAlign w:val="bottom"/>
          </w:tcPr>
          <w:p w:rsidR="00391C17" w:rsidRPr="006376F9" w:rsidRDefault="00391C17" w:rsidP="007440E5">
            <w:pPr>
              <w:jc w:val="right"/>
              <w:rPr>
                <w:color w:val="000000"/>
                <w:lang w:eastAsia="de-DE"/>
              </w:rPr>
            </w:pPr>
            <w:r>
              <w:rPr>
                <w:color w:val="000000"/>
                <w:lang w:eastAsia="de-DE"/>
              </w:rPr>
              <w:t>9.730.000</w:t>
            </w:r>
          </w:p>
        </w:tc>
        <w:tc>
          <w:tcPr>
            <w:tcW w:w="1738" w:type="dxa"/>
            <w:tcBorders>
              <w:top w:val="nil"/>
              <w:left w:val="nil"/>
              <w:bottom w:val="nil"/>
              <w:right w:val="nil"/>
            </w:tcBorders>
            <w:noWrap/>
            <w:vAlign w:val="bottom"/>
          </w:tcPr>
          <w:p w:rsidR="00391C17" w:rsidRPr="006376F9" w:rsidRDefault="00391C17" w:rsidP="006376F9">
            <w:pPr>
              <w:jc w:val="right"/>
              <w:rPr>
                <w:color w:val="000000"/>
                <w:lang w:eastAsia="de-DE"/>
              </w:rPr>
            </w:pPr>
            <w:r>
              <w:rPr>
                <w:color w:val="000000"/>
                <w:lang w:eastAsia="de-DE"/>
              </w:rPr>
              <w:t>2.275.000</w:t>
            </w:r>
          </w:p>
        </w:tc>
        <w:tc>
          <w:tcPr>
            <w:tcW w:w="917" w:type="dxa"/>
            <w:tcBorders>
              <w:top w:val="nil"/>
              <w:left w:val="nil"/>
              <w:bottom w:val="nil"/>
              <w:right w:val="single" w:sz="8" w:space="0" w:color="auto"/>
            </w:tcBorders>
            <w:noWrap/>
            <w:vAlign w:val="bottom"/>
          </w:tcPr>
          <w:p w:rsidR="00391C17" w:rsidRPr="006376F9" w:rsidRDefault="00391C17" w:rsidP="007440E5">
            <w:pPr>
              <w:jc w:val="right"/>
              <w:rPr>
                <w:color w:val="000000"/>
                <w:lang w:eastAsia="de-DE"/>
              </w:rPr>
            </w:pPr>
            <w:r>
              <w:rPr>
                <w:color w:val="000000"/>
                <w:lang w:eastAsia="de-DE"/>
              </w:rPr>
              <w:t>23,38%</w:t>
            </w:r>
          </w:p>
        </w:tc>
        <w:tc>
          <w:tcPr>
            <w:tcW w:w="1284" w:type="dxa"/>
            <w:tcBorders>
              <w:top w:val="nil"/>
              <w:left w:val="nil"/>
              <w:bottom w:val="nil"/>
              <w:right w:val="nil"/>
            </w:tcBorders>
            <w:noWrap/>
            <w:vAlign w:val="bottom"/>
          </w:tcPr>
          <w:p w:rsidR="00391C17" w:rsidRPr="006376F9" w:rsidRDefault="00391C17" w:rsidP="006376F9">
            <w:pPr>
              <w:jc w:val="right"/>
              <w:rPr>
                <w:color w:val="000000"/>
                <w:lang w:eastAsia="de-DE"/>
              </w:rPr>
            </w:pPr>
            <w:r>
              <w:rPr>
                <w:color w:val="000000"/>
                <w:lang w:eastAsia="de-DE"/>
              </w:rPr>
              <w:t>225.000</w:t>
            </w:r>
          </w:p>
        </w:tc>
        <w:tc>
          <w:tcPr>
            <w:tcW w:w="851"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Pr>
                <w:color w:val="000000"/>
                <w:lang w:eastAsia="de-DE"/>
              </w:rPr>
              <w:t>2,62%</w:t>
            </w:r>
          </w:p>
        </w:tc>
        <w:tc>
          <w:tcPr>
            <w:tcW w:w="1417" w:type="dxa"/>
            <w:tcBorders>
              <w:top w:val="nil"/>
              <w:left w:val="nil"/>
              <w:bottom w:val="nil"/>
              <w:right w:val="nil"/>
            </w:tcBorders>
            <w:noWrap/>
            <w:vAlign w:val="bottom"/>
          </w:tcPr>
          <w:p w:rsidR="00391C17" w:rsidRPr="006376F9" w:rsidRDefault="00391C17" w:rsidP="006376F9">
            <w:pPr>
              <w:jc w:val="right"/>
              <w:rPr>
                <w:color w:val="000000"/>
                <w:lang w:eastAsia="de-DE"/>
              </w:rPr>
            </w:pPr>
            <w:r>
              <w:rPr>
                <w:color w:val="000000"/>
                <w:lang w:eastAsia="de-DE"/>
              </w:rPr>
              <w:t>7.200.000</w:t>
            </w:r>
          </w:p>
        </w:tc>
        <w:tc>
          <w:tcPr>
            <w:tcW w:w="799" w:type="dxa"/>
            <w:tcBorders>
              <w:top w:val="nil"/>
              <w:left w:val="nil"/>
              <w:bottom w:val="nil"/>
              <w:right w:val="single" w:sz="8" w:space="0" w:color="auto"/>
            </w:tcBorders>
            <w:noWrap/>
            <w:vAlign w:val="bottom"/>
          </w:tcPr>
          <w:p w:rsidR="00391C17" w:rsidRPr="006376F9" w:rsidRDefault="00391C17" w:rsidP="007440E5">
            <w:pPr>
              <w:jc w:val="right"/>
              <w:rPr>
                <w:color w:val="000000"/>
                <w:lang w:eastAsia="de-DE"/>
              </w:rPr>
            </w:pPr>
            <w:r>
              <w:rPr>
                <w:color w:val="000000"/>
                <w:lang w:eastAsia="de-DE"/>
              </w:rPr>
              <w:t>74,00%</w:t>
            </w:r>
          </w:p>
        </w:tc>
      </w:tr>
      <w:tr w:rsidR="00391C17" w:rsidRPr="00BE2F57" w:rsidTr="00AC3E65">
        <w:trPr>
          <w:trHeight w:val="300"/>
        </w:trPr>
        <w:tc>
          <w:tcPr>
            <w:tcW w:w="1200" w:type="dxa"/>
            <w:tcBorders>
              <w:top w:val="nil"/>
              <w:left w:val="single" w:sz="8" w:space="0" w:color="auto"/>
              <w:bottom w:val="nil"/>
              <w:right w:val="nil"/>
            </w:tcBorders>
            <w:noWrap/>
            <w:vAlign w:val="bottom"/>
          </w:tcPr>
          <w:p w:rsidR="00391C17" w:rsidRPr="006376F9" w:rsidRDefault="00391C17" w:rsidP="006376F9">
            <w:pPr>
              <w:jc w:val="center"/>
              <w:rPr>
                <w:color w:val="000000"/>
                <w:lang w:eastAsia="de-DE"/>
              </w:rPr>
            </w:pPr>
            <w:r w:rsidRPr="006376F9">
              <w:rPr>
                <w:color w:val="000000"/>
                <w:lang w:eastAsia="de-DE"/>
              </w:rPr>
              <w:t>2013</w:t>
            </w:r>
          </w:p>
        </w:tc>
        <w:tc>
          <w:tcPr>
            <w:tcW w:w="1257"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9.302.000</w:t>
            </w:r>
          </w:p>
        </w:tc>
        <w:tc>
          <w:tcPr>
            <w:tcW w:w="1738"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1.951.000</w:t>
            </w:r>
          </w:p>
        </w:tc>
        <w:tc>
          <w:tcPr>
            <w:tcW w:w="917"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20,97%</w:t>
            </w:r>
          </w:p>
        </w:tc>
        <w:tc>
          <w:tcPr>
            <w:tcW w:w="1284"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251.000</w:t>
            </w:r>
          </w:p>
        </w:tc>
        <w:tc>
          <w:tcPr>
            <w:tcW w:w="851"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2,70%</w:t>
            </w:r>
          </w:p>
        </w:tc>
        <w:tc>
          <w:tcPr>
            <w:tcW w:w="1417"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7.100.000</w:t>
            </w:r>
          </w:p>
        </w:tc>
        <w:tc>
          <w:tcPr>
            <w:tcW w:w="799"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76,33%</w:t>
            </w:r>
          </w:p>
        </w:tc>
      </w:tr>
      <w:tr w:rsidR="00391C17" w:rsidRPr="00BE2F57" w:rsidTr="00AC3E65">
        <w:trPr>
          <w:trHeight w:val="300"/>
        </w:trPr>
        <w:tc>
          <w:tcPr>
            <w:tcW w:w="1200" w:type="dxa"/>
            <w:tcBorders>
              <w:top w:val="nil"/>
              <w:left w:val="single" w:sz="8" w:space="0" w:color="auto"/>
              <w:bottom w:val="nil"/>
              <w:right w:val="nil"/>
            </w:tcBorders>
            <w:noWrap/>
            <w:vAlign w:val="bottom"/>
          </w:tcPr>
          <w:p w:rsidR="00391C17" w:rsidRPr="006376F9" w:rsidRDefault="00391C17" w:rsidP="006376F9">
            <w:pPr>
              <w:jc w:val="center"/>
              <w:rPr>
                <w:color w:val="000000"/>
                <w:lang w:eastAsia="de-DE"/>
              </w:rPr>
            </w:pPr>
            <w:r w:rsidRPr="006376F9">
              <w:rPr>
                <w:color w:val="000000"/>
                <w:lang w:eastAsia="de-DE"/>
              </w:rPr>
              <w:t>2012</w:t>
            </w:r>
          </w:p>
        </w:tc>
        <w:tc>
          <w:tcPr>
            <w:tcW w:w="1257"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8.892.000</w:t>
            </w:r>
          </w:p>
        </w:tc>
        <w:tc>
          <w:tcPr>
            <w:tcW w:w="1738"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1.807.000</w:t>
            </w:r>
          </w:p>
        </w:tc>
        <w:tc>
          <w:tcPr>
            <w:tcW w:w="917"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20,32%</w:t>
            </w:r>
          </w:p>
        </w:tc>
        <w:tc>
          <w:tcPr>
            <w:tcW w:w="1284"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231.000</w:t>
            </w:r>
          </w:p>
        </w:tc>
        <w:tc>
          <w:tcPr>
            <w:tcW w:w="851"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2,60%</w:t>
            </w:r>
          </w:p>
        </w:tc>
        <w:tc>
          <w:tcPr>
            <w:tcW w:w="1417"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6.854.000</w:t>
            </w:r>
          </w:p>
        </w:tc>
        <w:tc>
          <w:tcPr>
            <w:tcW w:w="799"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77,08%</w:t>
            </w:r>
          </w:p>
        </w:tc>
      </w:tr>
      <w:tr w:rsidR="00391C17" w:rsidRPr="00BE2F57" w:rsidTr="00AC3E65">
        <w:trPr>
          <w:trHeight w:val="300"/>
        </w:trPr>
        <w:tc>
          <w:tcPr>
            <w:tcW w:w="1200" w:type="dxa"/>
            <w:tcBorders>
              <w:top w:val="nil"/>
              <w:left w:val="single" w:sz="8" w:space="0" w:color="auto"/>
              <w:bottom w:val="nil"/>
              <w:right w:val="nil"/>
            </w:tcBorders>
            <w:noWrap/>
            <w:vAlign w:val="bottom"/>
          </w:tcPr>
          <w:p w:rsidR="00391C17" w:rsidRPr="006376F9" w:rsidRDefault="00391C17" w:rsidP="006376F9">
            <w:pPr>
              <w:jc w:val="center"/>
              <w:rPr>
                <w:color w:val="000000"/>
                <w:lang w:eastAsia="de-DE"/>
              </w:rPr>
            </w:pPr>
            <w:r w:rsidRPr="006376F9">
              <w:rPr>
                <w:color w:val="000000"/>
                <w:lang w:eastAsia="de-DE"/>
              </w:rPr>
              <w:t>2011</w:t>
            </w:r>
          </w:p>
        </w:tc>
        <w:tc>
          <w:tcPr>
            <w:tcW w:w="1257"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9.035.000</w:t>
            </w:r>
          </w:p>
        </w:tc>
        <w:tc>
          <w:tcPr>
            <w:tcW w:w="1738"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2.054.000</w:t>
            </w:r>
          </w:p>
        </w:tc>
        <w:tc>
          <w:tcPr>
            <w:tcW w:w="917"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22,73%</w:t>
            </w:r>
          </w:p>
        </w:tc>
        <w:tc>
          <w:tcPr>
            <w:tcW w:w="1284"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212.000</w:t>
            </w:r>
          </w:p>
        </w:tc>
        <w:tc>
          <w:tcPr>
            <w:tcW w:w="851"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2,35%</w:t>
            </w:r>
          </w:p>
        </w:tc>
        <w:tc>
          <w:tcPr>
            <w:tcW w:w="1417"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6.769.000</w:t>
            </w:r>
          </w:p>
        </w:tc>
        <w:tc>
          <w:tcPr>
            <w:tcW w:w="799"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74,92%</w:t>
            </w:r>
          </w:p>
        </w:tc>
      </w:tr>
      <w:tr w:rsidR="00391C17" w:rsidRPr="00BE2F57" w:rsidTr="00AC3E65">
        <w:trPr>
          <w:trHeight w:val="300"/>
        </w:trPr>
        <w:tc>
          <w:tcPr>
            <w:tcW w:w="1200" w:type="dxa"/>
            <w:tcBorders>
              <w:top w:val="nil"/>
              <w:left w:val="single" w:sz="8" w:space="0" w:color="auto"/>
              <w:bottom w:val="nil"/>
              <w:right w:val="nil"/>
            </w:tcBorders>
            <w:noWrap/>
            <w:vAlign w:val="bottom"/>
          </w:tcPr>
          <w:p w:rsidR="00391C17" w:rsidRPr="006376F9" w:rsidRDefault="00391C17" w:rsidP="006376F9">
            <w:pPr>
              <w:jc w:val="center"/>
              <w:rPr>
                <w:color w:val="000000"/>
                <w:lang w:eastAsia="de-DE"/>
              </w:rPr>
            </w:pPr>
            <w:r w:rsidRPr="006376F9">
              <w:rPr>
                <w:color w:val="000000"/>
                <w:lang w:eastAsia="de-DE"/>
              </w:rPr>
              <w:t>2010</w:t>
            </w:r>
          </w:p>
        </w:tc>
        <w:tc>
          <w:tcPr>
            <w:tcW w:w="1257"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7.908.000</w:t>
            </w:r>
          </w:p>
        </w:tc>
        <w:tc>
          <w:tcPr>
            <w:tcW w:w="1738"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2.120.000</w:t>
            </w:r>
          </w:p>
        </w:tc>
        <w:tc>
          <w:tcPr>
            <w:tcW w:w="917"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26,81%</w:t>
            </w:r>
          </w:p>
        </w:tc>
        <w:tc>
          <w:tcPr>
            <w:tcW w:w="1284"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240.000</w:t>
            </w:r>
          </w:p>
        </w:tc>
        <w:tc>
          <w:tcPr>
            <w:tcW w:w="851"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3,03%</w:t>
            </w:r>
          </w:p>
        </w:tc>
        <w:tc>
          <w:tcPr>
            <w:tcW w:w="1417"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5.548.000</w:t>
            </w:r>
          </w:p>
        </w:tc>
        <w:tc>
          <w:tcPr>
            <w:tcW w:w="799"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70,16%</w:t>
            </w:r>
          </w:p>
        </w:tc>
      </w:tr>
      <w:tr w:rsidR="00391C17" w:rsidRPr="00BE2F57" w:rsidTr="00AC3E65">
        <w:trPr>
          <w:trHeight w:val="300"/>
        </w:trPr>
        <w:tc>
          <w:tcPr>
            <w:tcW w:w="1200" w:type="dxa"/>
            <w:tcBorders>
              <w:top w:val="nil"/>
              <w:left w:val="single" w:sz="8" w:space="0" w:color="auto"/>
              <w:bottom w:val="nil"/>
              <w:right w:val="nil"/>
            </w:tcBorders>
            <w:noWrap/>
            <w:vAlign w:val="bottom"/>
          </w:tcPr>
          <w:p w:rsidR="00391C17" w:rsidRPr="006376F9" w:rsidRDefault="00391C17" w:rsidP="006376F9">
            <w:pPr>
              <w:jc w:val="center"/>
              <w:rPr>
                <w:color w:val="000000"/>
                <w:lang w:eastAsia="de-DE"/>
              </w:rPr>
            </w:pPr>
            <w:r w:rsidRPr="006376F9">
              <w:rPr>
                <w:color w:val="000000"/>
                <w:lang w:eastAsia="de-DE"/>
              </w:rPr>
              <w:t>2009</w:t>
            </w:r>
          </w:p>
        </w:tc>
        <w:tc>
          <w:tcPr>
            <w:tcW w:w="1257"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7.008.000</w:t>
            </w:r>
          </w:p>
        </w:tc>
        <w:tc>
          <w:tcPr>
            <w:tcW w:w="1738"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2.138.000</w:t>
            </w:r>
          </w:p>
        </w:tc>
        <w:tc>
          <w:tcPr>
            <w:tcW w:w="917"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30,51%</w:t>
            </w:r>
          </w:p>
        </w:tc>
        <w:tc>
          <w:tcPr>
            <w:tcW w:w="1284"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170.000</w:t>
            </w:r>
          </w:p>
        </w:tc>
        <w:tc>
          <w:tcPr>
            <w:tcW w:w="851"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2,43%</w:t>
            </w:r>
          </w:p>
        </w:tc>
        <w:tc>
          <w:tcPr>
            <w:tcW w:w="1417"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4.700.000</w:t>
            </w:r>
          </w:p>
        </w:tc>
        <w:tc>
          <w:tcPr>
            <w:tcW w:w="799"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67,07%</w:t>
            </w:r>
          </w:p>
        </w:tc>
      </w:tr>
      <w:tr w:rsidR="00391C17" w:rsidRPr="00BE2F57" w:rsidTr="00AC3E65">
        <w:trPr>
          <w:trHeight w:val="300"/>
        </w:trPr>
        <w:tc>
          <w:tcPr>
            <w:tcW w:w="1200" w:type="dxa"/>
            <w:tcBorders>
              <w:top w:val="nil"/>
              <w:left w:val="single" w:sz="8" w:space="0" w:color="auto"/>
              <w:bottom w:val="nil"/>
              <w:right w:val="nil"/>
            </w:tcBorders>
            <w:noWrap/>
            <w:vAlign w:val="bottom"/>
          </w:tcPr>
          <w:p w:rsidR="00391C17" w:rsidRPr="006376F9" w:rsidRDefault="00391C17" w:rsidP="006376F9">
            <w:pPr>
              <w:jc w:val="center"/>
              <w:rPr>
                <w:color w:val="000000"/>
                <w:lang w:eastAsia="de-DE"/>
              </w:rPr>
            </w:pPr>
            <w:r w:rsidRPr="006376F9">
              <w:rPr>
                <w:color w:val="000000"/>
                <w:lang w:eastAsia="de-DE"/>
              </w:rPr>
              <w:t>2008</w:t>
            </w:r>
          </w:p>
        </w:tc>
        <w:tc>
          <w:tcPr>
            <w:tcW w:w="1257"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9.737.000</w:t>
            </w:r>
          </w:p>
        </w:tc>
        <w:tc>
          <w:tcPr>
            <w:tcW w:w="1738"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2.691.000</w:t>
            </w:r>
          </w:p>
        </w:tc>
        <w:tc>
          <w:tcPr>
            <w:tcW w:w="917"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27,64%</w:t>
            </w:r>
          </w:p>
        </w:tc>
        <w:tc>
          <w:tcPr>
            <w:tcW w:w="1284"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266.000</w:t>
            </w:r>
          </w:p>
        </w:tc>
        <w:tc>
          <w:tcPr>
            <w:tcW w:w="851"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2,73%</w:t>
            </w:r>
          </w:p>
        </w:tc>
        <w:tc>
          <w:tcPr>
            <w:tcW w:w="1417"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6.780.000</w:t>
            </w:r>
          </w:p>
        </w:tc>
        <w:tc>
          <w:tcPr>
            <w:tcW w:w="799"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69,63%</w:t>
            </w:r>
          </w:p>
        </w:tc>
      </w:tr>
      <w:tr w:rsidR="00391C17" w:rsidRPr="00BE2F57" w:rsidTr="00AC3E65">
        <w:trPr>
          <w:trHeight w:val="300"/>
        </w:trPr>
        <w:tc>
          <w:tcPr>
            <w:tcW w:w="1200" w:type="dxa"/>
            <w:tcBorders>
              <w:top w:val="nil"/>
              <w:left w:val="single" w:sz="8" w:space="0" w:color="auto"/>
              <w:bottom w:val="nil"/>
              <w:right w:val="nil"/>
            </w:tcBorders>
            <w:noWrap/>
            <w:vAlign w:val="bottom"/>
          </w:tcPr>
          <w:p w:rsidR="00391C17" w:rsidRPr="006376F9" w:rsidRDefault="00391C17" w:rsidP="006376F9">
            <w:pPr>
              <w:jc w:val="center"/>
              <w:rPr>
                <w:color w:val="000000"/>
                <w:lang w:eastAsia="de-DE"/>
              </w:rPr>
            </w:pPr>
            <w:r w:rsidRPr="006376F9">
              <w:rPr>
                <w:color w:val="000000"/>
                <w:lang w:eastAsia="de-DE"/>
              </w:rPr>
              <w:t>2007</w:t>
            </w:r>
          </w:p>
        </w:tc>
        <w:tc>
          <w:tcPr>
            <w:tcW w:w="1257"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9.890.000</w:t>
            </w:r>
          </w:p>
        </w:tc>
        <w:tc>
          <w:tcPr>
            <w:tcW w:w="1738"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2.916.000</w:t>
            </w:r>
          </w:p>
        </w:tc>
        <w:tc>
          <w:tcPr>
            <w:tcW w:w="917"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29,48%</w:t>
            </w:r>
          </w:p>
        </w:tc>
        <w:tc>
          <w:tcPr>
            <w:tcW w:w="1284"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268.000</w:t>
            </w:r>
          </w:p>
        </w:tc>
        <w:tc>
          <w:tcPr>
            <w:tcW w:w="851"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2,71%</w:t>
            </w:r>
          </w:p>
        </w:tc>
        <w:tc>
          <w:tcPr>
            <w:tcW w:w="1417"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6.706.000</w:t>
            </w:r>
          </w:p>
        </w:tc>
        <w:tc>
          <w:tcPr>
            <w:tcW w:w="799"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67,81%</w:t>
            </w:r>
          </w:p>
        </w:tc>
      </w:tr>
      <w:tr w:rsidR="00391C17" w:rsidRPr="00BE2F57" w:rsidTr="00AC3E65">
        <w:trPr>
          <w:trHeight w:val="300"/>
        </w:trPr>
        <w:tc>
          <w:tcPr>
            <w:tcW w:w="1200" w:type="dxa"/>
            <w:tcBorders>
              <w:top w:val="nil"/>
              <w:left w:val="single" w:sz="8" w:space="0" w:color="auto"/>
              <w:bottom w:val="nil"/>
              <w:right w:val="nil"/>
            </w:tcBorders>
            <w:noWrap/>
            <w:vAlign w:val="bottom"/>
          </w:tcPr>
          <w:p w:rsidR="00391C17" w:rsidRPr="006376F9" w:rsidRDefault="00391C17" w:rsidP="006376F9">
            <w:pPr>
              <w:jc w:val="center"/>
              <w:rPr>
                <w:color w:val="000000"/>
                <w:lang w:eastAsia="de-DE"/>
              </w:rPr>
            </w:pPr>
            <w:r w:rsidRPr="006376F9">
              <w:rPr>
                <w:color w:val="000000"/>
                <w:lang w:eastAsia="de-DE"/>
              </w:rPr>
              <w:t>2006</w:t>
            </w:r>
          </w:p>
        </w:tc>
        <w:tc>
          <w:tcPr>
            <w:tcW w:w="1257"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8.862.000</w:t>
            </w:r>
          </w:p>
        </w:tc>
        <w:tc>
          <w:tcPr>
            <w:tcW w:w="1738"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2.544.000</w:t>
            </w:r>
          </w:p>
        </w:tc>
        <w:tc>
          <w:tcPr>
            <w:tcW w:w="917"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28,71%</w:t>
            </w:r>
          </w:p>
        </w:tc>
        <w:tc>
          <w:tcPr>
            <w:tcW w:w="1284"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218.000</w:t>
            </w:r>
          </w:p>
        </w:tc>
        <w:tc>
          <w:tcPr>
            <w:tcW w:w="851"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2,46%</w:t>
            </w:r>
          </w:p>
        </w:tc>
        <w:tc>
          <w:tcPr>
            <w:tcW w:w="1417" w:type="dxa"/>
            <w:tcBorders>
              <w:top w:val="nil"/>
              <w:left w:val="nil"/>
              <w:bottom w:val="nil"/>
              <w:right w:val="nil"/>
            </w:tcBorders>
            <w:noWrap/>
            <w:vAlign w:val="bottom"/>
          </w:tcPr>
          <w:p w:rsidR="00391C17" w:rsidRPr="006376F9" w:rsidRDefault="00391C17" w:rsidP="006376F9">
            <w:pPr>
              <w:jc w:val="right"/>
              <w:rPr>
                <w:color w:val="000000"/>
                <w:lang w:eastAsia="de-DE"/>
              </w:rPr>
            </w:pPr>
            <w:r w:rsidRPr="006376F9">
              <w:rPr>
                <w:color w:val="000000"/>
                <w:lang w:eastAsia="de-DE"/>
              </w:rPr>
              <w:t>6.100.000</w:t>
            </w:r>
          </w:p>
        </w:tc>
        <w:tc>
          <w:tcPr>
            <w:tcW w:w="799" w:type="dxa"/>
            <w:tcBorders>
              <w:top w:val="nil"/>
              <w:left w:val="nil"/>
              <w:bottom w:val="nil"/>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68,83%</w:t>
            </w:r>
          </w:p>
        </w:tc>
      </w:tr>
      <w:tr w:rsidR="00391C17" w:rsidRPr="00BE2F57" w:rsidTr="00AC3E65">
        <w:trPr>
          <w:trHeight w:val="315"/>
        </w:trPr>
        <w:tc>
          <w:tcPr>
            <w:tcW w:w="1200" w:type="dxa"/>
            <w:tcBorders>
              <w:top w:val="nil"/>
              <w:left w:val="single" w:sz="8" w:space="0" w:color="auto"/>
              <w:bottom w:val="single" w:sz="8" w:space="0" w:color="auto"/>
              <w:right w:val="nil"/>
            </w:tcBorders>
            <w:noWrap/>
            <w:vAlign w:val="bottom"/>
          </w:tcPr>
          <w:p w:rsidR="00391C17" w:rsidRPr="006376F9" w:rsidRDefault="00391C17" w:rsidP="006376F9">
            <w:pPr>
              <w:jc w:val="center"/>
              <w:rPr>
                <w:color w:val="000000"/>
                <w:lang w:eastAsia="de-DE"/>
              </w:rPr>
            </w:pPr>
            <w:r w:rsidRPr="006376F9">
              <w:rPr>
                <w:color w:val="000000"/>
                <w:lang w:eastAsia="de-DE"/>
              </w:rPr>
              <w:t>2005</w:t>
            </w:r>
          </w:p>
        </w:tc>
        <w:tc>
          <w:tcPr>
            <w:tcW w:w="1257" w:type="dxa"/>
            <w:tcBorders>
              <w:top w:val="nil"/>
              <w:left w:val="nil"/>
              <w:bottom w:val="single" w:sz="8" w:space="0" w:color="auto"/>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8.088.000</w:t>
            </w:r>
          </w:p>
        </w:tc>
        <w:tc>
          <w:tcPr>
            <w:tcW w:w="1738" w:type="dxa"/>
            <w:tcBorders>
              <w:top w:val="nil"/>
              <w:left w:val="nil"/>
              <w:bottom w:val="single" w:sz="8" w:space="0" w:color="auto"/>
              <w:right w:val="nil"/>
            </w:tcBorders>
            <w:noWrap/>
            <w:vAlign w:val="bottom"/>
          </w:tcPr>
          <w:p w:rsidR="00391C17" w:rsidRPr="006376F9" w:rsidRDefault="00391C17" w:rsidP="006376F9">
            <w:pPr>
              <w:jc w:val="right"/>
              <w:rPr>
                <w:color w:val="000000"/>
                <w:lang w:eastAsia="de-DE"/>
              </w:rPr>
            </w:pPr>
            <w:r w:rsidRPr="006376F9">
              <w:rPr>
                <w:color w:val="000000"/>
                <w:lang w:eastAsia="de-DE"/>
              </w:rPr>
              <w:t>2.643.000</w:t>
            </w:r>
          </w:p>
        </w:tc>
        <w:tc>
          <w:tcPr>
            <w:tcW w:w="917" w:type="dxa"/>
            <w:tcBorders>
              <w:top w:val="nil"/>
              <w:left w:val="nil"/>
              <w:bottom w:val="single" w:sz="8" w:space="0" w:color="auto"/>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32,68%</w:t>
            </w:r>
          </w:p>
        </w:tc>
        <w:tc>
          <w:tcPr>
            <w:tcW w:w="1284" w:type="dxa"/>
            <w:tcBorders>
              <w:top w:val="nil"/>
              <w:left w:val="nil"/>
              <w:bottom w:val="single" w:sz="8" w:space="0" w:color="auto"/>
              <w:right w:val="nil"/>
            </w:tcBorders>
            <w:noWrap/>
            <w:vAlign w:val="bottom"/>
          </w:tcPr>
          <w:p w:rsidR="00391C17" w:rsidRPr="006376F9" w:rsidRDefault="00391C17" w:rsidP="006376F9">
            <w:pPr>
              <w:jc w:val="right"/>
              <w:rPr>
                <w:color w:val="000000"/>
                <w:lang w:eastAsia="de-DE"/>
              </w:rPr>
            </w:pPr>
            <w:r w:rsidRPr="006376F9">
              <w:rPr>
                <w:color w:val="000000"/>
                <w:lang w:eastAsia="de-DE"/>
              </w:rPr>
              <w:t>145.000</w:t>
            </w:r>
          </w:p>
        </w:tc>
        <w:tc>
          <w:tcPr>
            <w:tcW w:w="851" w:type="dxa"/>
            <w:tcBorders>
              <w:top w:val="nil"/>
              <w:left w:val="nil"/>
              <w:bottom w:val="single" w:sz="8" w:space="0" w:color="auto"/>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1,79%</w:t>
            </w:r>
          </w:p>
        </w:tc>
        <w:tc>
          <w:tcPr>
            <w:tcW w:w="1417" w:type="dxa"/>
            <w:tcBorders>
              <w:top w:val="nil"/>
              <w:left w:val="nil"/>
              <w:bottom w:val="single" w:sz="8" w:space="0" w:color="auto"/>
              <w:right w:val="nil"/>
            </w:tcBorders>
            <w:noWrap/>
            <w:vAlign w:val="bottom"/>
          </w:tcPr>
          <w:p w:rsidR="00391C17" w:rsidRPr="006376F9" w:rsidRDefault="00391C17" w:rsidP="006376F9">
            <w:pPr>
              <w:jc w:val="right"/>
              <w:rPr>
                <w:color w:val="000000"/>
                <w:lang w:eastAsia="de-DE"/>
              </w:rPr>
            </w:pPr>
            <w:r w:rsidRPr="006376F9">
              <w:rPr>
                <w:color w:val="000000"/>
                <w:lang w:eastAsia="de-DE"/>
              </w:rPr>
              <w:t>5.300.000</w:t>
            </w:r>
          </w:p>
        </w:tc>
        <w:tc>
          <w:tcPr>
            <w:tcW w:w="799" w:type="dxa"/>
            <w:tcBorders>
              <w:top w:val="nil"/>
              <w:left w:val="nil"/>
              <w:bottom w:val="single" w:sz="8" w:space="0" w:color="auto"/>
              <w:right w:val="single" w:sz="8" w:space="0" w:color="auto"/>
            </w:tcBorders>
            <w:noWrap/>
            <w:vAlign w:val="bottom"/>
          </w:tcPr>
          <w:p w:rsidR="00391C17" w:rsidRPr="006376F9" w:rsidRDefault="00391C17" w:rsidP="006376F9">
            <w:pPr>
              <w:jc w:val="right"/>
              <w:rPr>
                <w:color w:val="000000"/>
                <w:lang w:eastAsia="de-DE"/>
              </w:rPr>
            </w:pPr>
            <w:r w:rsidRPr="006376F9">
              <w:rPr>
                <w:color w:val="000000"/>
                <w:lang w:eastAsia="de-DE"/>
              </w:rPr>
              <w:t>65,53%</w:t>
            </w:r>
          </w:p>
        </w:tc>
      </w:tr>
    </w:tbl>
    <w:p w:rsidR="00391C17" w:rsidRDefault="00391C17" w:rsidP="006376F9"/>
    <w:p w:rsidR="00391C17" w:rsidRPr="000D16A8" w:rsidRDefault="00391C17" w:rsidP="000D16A8">
      <w:pPr>
        <w:pStyle w:val="Listenabsatz"/>
        <w:ind w:left="1080"/>
      </w:pPr>
      <w:r w:rsidRPr="000D16A8">
        <w:t xml:space="preserve">Für den Zeitraum von 2007 bis 2014 ist festzustellen, dass der Containerumschlag in Hamburg </w:t>
      </w:r>
      <w:r w:rsidR="00815533">
        <w:t>weiterhin nicht über die Höchstmarke in 2007 hinausgekommen ist</w:t>
      </w:r>
      <w:r w:rsidRPr="000D16A8">
        <w:t>. Aus den seit 2006 erlassenen Planfeststellungsbeschlüssen für CTA, CTT und Steinwerder sowie realisierten Effizienzsteigerungen durch die Terminalbetreiber HHLA und Eurogate we</w:t>
      </w:r>
      <w:r w:rsidRPr="000D16A8">
        <w:t>r</w:t>
      </w:r>
      <w:r w:rsidRPr="000D16A8">
        <w:t>den in 2017 weit mehr als 19 Mio. TEU jährliche Umschlagskapazität an den Hamburger Terminals vorhanden sein. Die falsche Angabe einer Terminalkapazität von bis 17 Mio. TEU (Bedarfsbegründung Seite 7) weist somit eine Reserve von über 70% aus. Die ta</w:t>
      </w:r>
      <w:r w:rsidRPr="000D16A8">
        <w:t>t</w:t>
      </w:r>
      <w:r w:rsidRPr="000D16A8">
        <w:t>sächlichen in 2017 zur Verfügung stehenden Terminalkapazitäten von bis 19 Mio. TEU weisen gegenüber den heutigen Kapazitäten sogar eine Reserve von über 85% aus.</w:t>
      </w:r>
      <w:r>
        <w:t xml:space="preserve"> (vgl. Nr. 1) Ein Bedarf oder Notstand ist aus den vorgelegten Unterl</w:t>
      </w:r>
      <w:r>
        <w:t>a</w:t>
      </w:r>
      <w:r>
        <w:t>gen nicht ersichtlich.</w:t>
      </w:r>
    </w:p>
    <w:p w:rsidR="00391C17" w:rsidRPr="000D16A8" w:rsidRDefault="00391C17" w:rsidP="000D16A8">
      <w:pPr>
        <w:pStyle w:val="Listenabsatz"/>
        <w:ind w:left="1080"/>
        <w:rPr>
          <w:b/>
        </w:rPr>
      </w:pPr>
    </w:p>
    <w:p w:rsidR="00391C17" w:rsidRPr="000D16A8" w:rsidRDefault="00391C17" w:rsidP="000D16A8">
      <w:pPr>
        <w:pStyle w:val="Listenabsatz"/>
        <w:numPr>
          <w:ilvl w:val="2"/>
          <w:numId w:val="8"/>
        </w:numPr>
      </w:pPr>
      <w:r w:rsidRPr="00645EEF">
        <w:rPr>
          <w:b/>
        </w:rPr>
        <w:t>Berücksichtigung der Rolle, die Eurogate an dem Hamburger Containerumschlag nac</w:t>
      </w:r>
      <w:r w:rsidRPr="00645EEF">
        <w:rPr>
          <w:b/>
        </w:rPr>
        <w:t>h</w:t>
      </w:r>
      <w:r w:rsidRPr="00645EEF">
        <w:rPr>
          <w:b/>
        </w:rPr>
        <w:t>weisbar</w:t>
      </w:r>
      <w:r>
        <w:rPr>
          <w:b/>
        </w:rPr>
        <w:t>, verbindlich</w:t>
      </w:r>
      <w:r w:rsidRPr="00645EEF">
        <w:rPr>
          <w:b/>
        </w:rPr>
        <w:t xml:space="preserve"> und tragfähig spielen will.</w:t>
      </w:r>
      <w:r w:rsidRPr="000D16A8">
        <w:rPr>
          <w:b/>
        </w:rPr>
        <w:t xml:space="preserve"> </w:t>
      </w:r>
      <w:r w:rsidRPr="000D16A8">
        <w:t>Aus den vorgelegten Unterlagen ist diese Rolle nicht ersichtlich. Der in der Bedarfsbegründung auf Seite 8 angeführte Umschlag</w:t>
      </w:r>
      <w:r w:rsidRPr="000D16A8">
        <w:t>s</w:t>
      </w:r>
      <w:r w:rsidRPr="000D16A8">
        <w:t>anteil vom CTH-Eurogate im Hamburger Hafen beträgt nicht „etwas unter 30 %“, sondern ist seit Jahren rückläufig und beträgt lediglich gut 20 %. Die in der Bedarfsbegründung und von CTH angegebene Terminalkapazitäten von 4 Mio. TEU p.a. werden bei einem jährlich konstanten Umschlag von gut 2 Mio. TEU derzeit gerade einmal zu 50% ausgela</w:t>
      </w:r>
      <w:r w:rsidRPr="000D16A8">
        <w:t>s</w:t>
      </w:r>
      <w:r w:rsidRPr="000D16A8">
        <w:t xml:space="preserve">tet. Eine Erweiterung der CTH-Umschlagskapazität auf 6 Mio. TEU würde dabei zu einer Absenkung der Auslastung von gut 30% führen. Von einem Umschlagsnotstand beim CTH kann </w:t>
      </w:r>
      <w:r>
        <w:t xml:space="preserve">nach Sichtung der vorgelegten Unterlagen </w:t>
      </w:r>
      <w:r w:rsidRPr="000D16A8">
        <w:t>somit keine Rede sein.</w:t>
      </w:r>
    </w:p>
    <w:p w:rsidR="00391C17" w:rsidRDefault="00391C17" w:rsidP="00645EEF">
      <w:pPr>
        <w:pStyle w:val="Listenabsatz"/>
      </w:pPr>
    </w:p>
    <w:p w:rsidR="00391C17" w:rsidRPr="000D16A8" w:rsidRDefault="00391C17" w:rsidP="000D16A8">
      <w:pPr>
        <w:pStyle w:val="Listenabsatz"/>
        <w:numPr>
          <w:ilvl w:val="2"/>
          <w:numId w:val="8"/>
        </w:numPr>
      </w:pPr>
      <w:r w:rsidRPr="00645EEF">
        <w:rPr>
          <w:b/>
        </w:rPr>
        <w:t>Berücksichtigung der Kundenstrukturen an den Containerterminals.</w:t>
      </w:r>
      <w:r w:rsidRPr="000D16A8">
        <w:rPr>
          <w:b/>
        </w:rPr>
        <w:t xml:space="preserve"> </w:t>
      </w:r>
      <w:r w:rsidRPr="000D16A8">
        <w:t>Containerreedere</w:t>
      </w:r>
      <w:r w:rsidRPr="000D16A8">
        <w:t>i</w:t>
      </w:r>
      <w:r w:rsidRPr="000D16A8">
        <w:t xml:space="preserve">en sind die seeseitigen Kunden der Containerterminals und beeinflussen mit ihren Schiffsanläufen den Terminalumschlag. Der Höhe des </w:t>
      </w:r>
      <w:r w:rsidR="00853DF8">
        <w:t>Umschlagsentgeltes pro TEU, das</w:t>
      </w:r>
      <w:r w:rsidRPr="000D16A8">
        <w:t xml:space="preserve"> die Reederei an den Terminalbetreiber zu entrichten hat, ergibt sich kaufmännisch nac</w:t>
      </w:r>
      <w:r w:rsidRPr="000D16A8">
        <w:t>h</w:t>
      </w:r>
      <w:r w:rsidRPr="000D16A8">
        <w:t>vollziehbar maßgeblich aus der Menge der umgeschlagenen Einheiten. Diese Preisgesta</w:t>
      </w:r>
      <w:r w:rsidRPr="000D16A8">
        <w:t>l</w:t>
      </w:r>
      <w:r w:rsidRPr="000D16A8">
        <w:t>tung hat zur Folge, dass die Reedereien möglichst nur einen Umschlagsbetrieb, d.h. en</w:t>
      </w:r>
      <w:r w:rsidRPr="000D16A8">
        <w:t>t</w:t>
      </w:r>
      <w:r w:rsidRPr="000D16A8">
        <w:t xml:space="preserve">weder Eurogate oder HHLA anlaufen, um in den Genuss einer Preis-Mengendegression zu kommen. Verstärkt wird dieses Verhalten durch die Bildung von Reedereiallianzen wie G6, 2M, </w:t>
      </w:r>
      <w:proofErr w:type="spellStart"/>
      <w:r w:rsidRPr="000D16A8">
        <w:t>Ocean</w:t>
      </w:r>
      <w:proofErr w:type="spellEnd"/>
      <w:r w:rsidRPr="000D16A8">
        <w:t xml:space="preserve"> </w:t>
      </w:r>
      <w:proofErr w:type="spellStart"/>
      <w:r w:rsidRPr="000D16A8">
        <w:t>Three</w:t>
      </w:r>
      <w:proofErr w:type="spellEnd"/>
      <w:r w:rsidRPr="000D16A8">
        <w:t xml:space="preserve"> und CKHYE: mit diesen Allianzen werden die Preis-</w:t>
      </w:r>
      <w:proofErr w:type="spellStart"/>
      <w:r w:rsidRPr="000D16A8">
        <w:t>Mengen</w:t>
      </w:r>
      <w:r w:rsidR="00815533">
        <w:softHyphen/>
      </w:r>
      <w:r w:rsidRPr="000D16A8">
        <w:t>degressionen</w:t>
      </w:r>
      <w:proofErr w:type="spellEnd"/>
      <w:r w:rsidRPr="000D16A8">
        <w:t xml:space="preserve"> von der Reedereiebene auf </w:t>
      </w:r>
      <w:proofErr w:type="spellStart"/>
      <w:r w:rsidRPr="000D16A8">
        <w:t>Allianz</w:t>
      </w:r>
      <w:r>
        <w:t>en</w:t>
      </w:r>
      <w:r w:rsidRPr="000D16A8">
        <w:t>ebene</w:t>
      </w:r>
      <w:proofErr w:type="spellEnd"/>
      <w:r w:rsidRPr="000D16A8">
        <w:t xml:space="preserve"> ermöglicht. Auf </w:t>
      </w:r>
      <w:proofErr w:type="spellStart"/>
      <w:r w:rsidRPr="000D16A8">
        <w:t>Allianzenebene</w:t>
      </w:r>
      <w:proofErr w:type="spellEnd"/>
      <w:r w:rsidRPr="000D16A8">
        <w:t xml:space="preserve"> kommen zudem vereinfachte logistische Strukturen durch gemeinsame Nutzungen für Hinterlandanbindungen zum Tragen.</w:t>
      </w:r>
    </w:p>
    <w:p w:rsidR="00391C17" w:rsidRPr="000D16A8" w:rsidRDefault="00391C17" w:rsidP="000D16A8">
      <w:pPr>
        <w:pStyle w:val="Listenabsatz"/>
        <w:ind w:left="1080"/>
      </w:pPr>
    </w:p>
    <w:p w:rsidR="00391C17" w:rsidRPr="000D16A8" w:rsidRDefault="00391C17" w:rsidP="000D16A8">
      <w:pPr>
        <w:pStyle w:val="Listenabsatz"/>
        <w:ind w:left="1080"/>
      </w:pPr>
      <w:r w:rsidRPr="000D16A8">
        <w:t xml:space="preserve">Die Kundenstrukturen an den Terminals sind somit festgelegt und finden sich in den Terminalanlaufstatistiken langfristig wieder: beispielsweise schlagen die G6-Mitglieder </w:t>
      </w:r>
      <w:r w:rsidRPr="000D16A8">
        <w:lastRenderedPageBreak/>
        <w:t>ausschließlich bei CTA um, während 2M-Schiffe nur den CTH anlaufen. CMA-CGM ist treuer CTB-Kunde, während CKHYE nahezu ausschließlich am CTT umschlägt. Große Re</w:t>
      </w:r>
      <w:r w:rsidRPr="000D16A8">
        <w:t>e</w:t>
      </w:r>
      <w:r w:rsidRPr="000D16A8">
        <w:t>dereien, die ihren Umschlag nicht an eine Umschlagsgesellschaft (HHLA oder Eurogate) gebunden haben, sind nicht bekannt.</w:t>
      </w:r>
    </w:p>
    <w:p w:rsidR="00391C17" w:rsidRPr="000D16A8" w:rsidRDefault="00391C17" w:rsidP="000D16A8">
      <w:pPr>
        <w:pStyle w:val="Listenabsatz"/>
        <w:ind w:left="1080"/>
      </w:pPr>
    </w:p>
    <w:p w:rsidR="00391C17" w:rsidRPr="000D16A8" w:rsidRDefault="00391C17" w:rsidP="000D16A8">
      <w:pPr>
        <w:pStyle w:val="Listenabsatz"/>
        <w:ind w:left="1080"/>
      </w:pPr>
      <w:r w:rsidRPr="000D16A8">
        <w:t>Um einen enormen Bedarf für das CTH erkennen zu können, müsste der Wechsel einer Allianz bzw. einer maßgeblichen Reederei bekanntgegeben werden. Ein derartiger Wec</w:t>
      </w:r>
      <w:r w:rsidRPr="000D16A8">
        <w:t>h</w:t>
      </w:r>
      <w:r w:rsidRPr="000D16A8">
        <w:t xml:space="preserve">sel ist weder kurz- bis mittelfristig erkennbar. Im Gegenteil: mit der Gründung der Allianz </w:t>
      </w:r>
      <w:proofErr w:type="spellStart"/>
      <w:r w:rsidRPr="000D16A8">
        <w:t>Ocean</w:t>
      </w:r>
      <w:proofErr w:type="spellEnd"/>
      <w:r w:rsidRPr="000D16A8">
        <w:t xml:space="preserve"> </w:t>
      </w:r>
      <w:proofErr w:type="spellStart"/>
      <w:r w:rsidRPr="000D16A8">
        <w:t>Three</w:t>
      </w:r>
      <w:proofErr w:type="spellEnd"/>
      <w:r w:rsidRPr="000D16A8">
        <w:t xml:space="preserve"> ist zu vermuten, dass die </w:t>
      </w:r>
      <w:proofErr w:type="spellStart"/>
      <w:r w:rsidRPr="000D16A8">
        <w:t>Allianzpartner</w:t>
      </w:r>
      <w:proofErr w:type="spellEnd"/>
      <w:r w:rsidRPr="000D16A8">
        <w:t xml:space="preserve"> UASC und CSCL zu dem Terminal i</w:t>
      </w:r>
      <w:r w:rsidRPr="000D16A8">
        <w:t>h</w:t>
      </w:r>
      <w:r w:rsidRPr="000D16A8">
        <w:t xml:space="preserve">res maßgeblichen Mitgliedes CMA CGM wechseln werden. Auch in diesem Punkt ist kein Umschlagsnotstand des Antragstellers beim CTH </w:t>
      </w:r>
      <w:r>
        <w:t xml:space="preserve">aus den vorgelegten Unterlagen </w:t>
      </w:r>
      <w:r w:rsidRPr="000D16A8">
        <w:t>e</w:t>
      </w:r>
      <w:r w:rsidRPr="000D16A8">
        <w:t>r</w:t>
      </w:r>
      <w:r w:rsidRPr="000D16A8">
        <w:t>kennbar bzw. prognostizierbar.</w:t>
      </w:r>
    </w:p>
    <w:p w:rsidR="00391C17" w:rsidRPr="000D16A8" w:rsidRDefault="00391C17" w:rsidP="000D16A8">
      <w:pPr>
        <w:pStyle w:val="Listenabsatz"/>
        <w:ind w:left="1080"/>
      </w:pPr>
    </w:p>
    <w:p w:rsidR="00391C17" w:rsidRPr="000D16A8" w:rsidRDefault="00391C17" w:rsidP="000D16A8">
      <w:pPr>
        <w:pStyle w:val="Listenabsatz"/>
        <w:numPr>
          <w:ilvl w:val="2"/>
          <w:numId w:val="8"/>
        </w:numPr>
      </w:pPr>
      <w:r w:rsidRPr="00645EEF">
        <w:rPr>
          <w:b/>
        </w:rPr>
        <w:t>Berücksichtigung der nationalen Konzerneinbindung von Eurogate</w:t>
      </w:r>
      <w:r w:rsidRPr="000D16A8">
        <w:rPr>
          <w:b/>
        </w:rPr>
        <w:t xml:space="preserve">: </w:t>
      </w:r>
      <w:r w:rsidRPr="000D16A8">
        <w:t xml:space="preserve">Der Antragsteller Eurogate für die Westerweiterung ist maßgeblich in den Eurogate-Konzern in Bremen eingebunden. In Bremerhaven betreibt Eurogate neben einem eigenen Terminal mit MSC das MSC-Gate und mit </w:t>
      </w:r>
      <w:proofErr w:type="spellStart"/>
      <w:r w:rsidRPr="000D16A8">
        <w:t>Maersk</w:t>
      </w:r>
      <w:proofErr w:type="spellEnd"/>
      <w:r w:rsidRPr="000D16A8">
        <w:t xml:space="preserve"> das NTB-Terminal. Gemeinsam mit </w:t>
      </w:r>
      <w:proofErr w:type="spellStart"/>
      <w:r w:rsidRPr="000D16A8">
        <w:t>Maersk</w:t>
      </w:r>
      <w:proofErr w:type="spellEnd"/>
      <w:r w:rsidRPr="000D16A8">
        <w:t xml:space="preserve"> wird der Jade-Weser-Port in Wilhelmshaven betrieben. Der Antragsteller führt nicht mit einem Wort einen etwaigen Notstand an, dass die beiden weltgrößten Reedereien </w:t>
      </w:r>
      <w:proofErr w:type="spellStart"/>
      <w:r w:rsidRPr="000D16A8">
        <w:t>Maersk</w:t>
      </w:r>
      <w:proofErr w:type="spellEnd"/>
      <w:r w:rsidRPr="000D16A8">
        <w:t xml:space="preserve"> und MSC ihren Umschlag an den Terminals in Bremerhaven bzw. Wilhelmshaven zum CTH nach Hamburg verlagern wollen. Aus der Presse der letzten Wochen ist eher Gegenteiliges von den Reedereien, eine Verlagerung nach Wilhelmshaven, zu vernehmen. Somit ist ein Umschlagsnotstand für Eurogate nicht vorhanden.</w:t>
      </w:r>
    </w:p>
    <w:p w:rsidR="00391C17" w:rsidRPr="000D16A8" w:rsidRDefault="00391C17" w:rsidP="00645EEF"/>
    <w:p w:rsidR="00391C17" w:rsidRDefault="00391C17" w:rsidP="00645EEF">
      <w:r>
        <w:t>Aus den fünf vorgenannten Punkten stelle ich fest, dass die vorgelegte Bedarfsbegründung falsch ist und fordere, dass diese nicht Gegenstand der Beurteilung sein darf. Ich beantrage, dass die unter den Punkten 3.i) bis v) angeführten aktuellen Prognosen in Verbindung mit den Ist-Umschlagszahlen he</w:t>
      </w:r>
      <w:r>
        <w:t>r</w:t>
      </w:r>
      <w:r>
        <w:t>angezogen werden und eine umfassende und detaillierte langjährige terminal- und reedereibezogene strategische Umschlagsplanung für den gesamten Hamburger Hafen erstellt wird. Des Weiteren ist von Eurogate planerisch mit einem hohen Grad der Verbindlichkeit nachzuweisen, wie Umschlag</w:t>
      </w:r>
      <w:r>
        <w:t>s</w:t>
      </w:r>
      <w:r>
        <w:t xml:space="preserve">zuwächse von 4 Mio. TEU generiert werden sollen. Ohne die Vorlage von entsprechenden Unterlagen zu den Punkten </w:t>
      </w:r>
      <w:r w:rsidR="00482787">
        <w:t>i)</w:t>
      </w:r>
      <w:r>
        <w:t xml:space="preserve"> bis </w:t>
      </w:r>
      <w:r w:rsidR="00482787">
        <w:t>v)</w:t>
      </w:r>
      <w:r>
        <w:t xml:space="preserve"> ist bei dem Vorhaben von einer Vorratsmaßnahme auszugehen.</w:t>
      </w:r>
    </w:p>
    <w:p w:rsidR="00391C17" w:rsidRDefault="00391C17" w:rsidP="00645EEF"/>
    <w:p w:rsidR="00391C17" w:rsidRDefault="00391C17" w:rsidP="00645EEF"/>
    <w:p w:rsidR="00391C17" w:rsidRDefault="00391C17" w:rsidP="00A50553">
      <w:r>
        <w:t xml:space="preserve">Die zur Bedarfsbegründung für das Planfeststellungsverfahren angeführten nicht weiter spezifizierten Großschiffe (ist damit das Bemessungsschiff für die neunte Elbvertiefung gemeint, oder doch ein Schiff von der Größe der „CSCL </w:t>
      </w:r>
      <w:proofErr w:type="spellStart"/>
      <w:r>
        <w:t>Globe</w:t>
      </w:r>
      <w:proofErr w:type="spellEnd"/>
      <w:r>
        <w:t>“) sind für die Beurteilung des prognostizierten Containeru</w:t>
      </w:r>
      <w:r>
        <w:t>m</w:t>
      </w:r>
      <w:r>
        <w:t xml:space="preserve">schlages als auch zur Ableitung einer Notwendigkeit für die Westerweiterung irrelevant. Derartige Schiffe laufen den Hamburger Hafen problemlos an und können, wie der Anlauf der CSCL </w:t>
      </w:r>
      <w:proofErr w:type="spellStart"/>
      <w:r>
        <w:t>Globe</w:t>
      </w:r>
      <w:proofErr w:type="spellEnd"/>
      <w:r>
        <w:t xml:space="preserve"> am 13.01.2015 bestätigt, ohne Schwierigkeiten in den Parkhafen eindrehen und am bestehenden CTH Eurogate mehr als 11.000 TEU umschlagen (Pressemitteilung von Hafen-Hamburg.de vom 13.01.2015, 11:02 Uhr). </w:t>
      </w:r>
    </w:p>
    <w:p w:rsidR="00391C17" w:rsidRDefault="00391C17" w:rsidP="00A50553"/>
    <w:p w:rsidR="00391C17" w:rsidRDefault="00391C17" w:rsidP="00A50553"/>
    <w:p w:rsidR="00391C17" w:rsidRDefault="00391C17" w:rsidP="00A50553"/>
    <w:p w:rsidR="00391C17" w:rsidRPr="00A50553" w:rsidRDefault="00391C17" w:rsidP="00A50553">
      <w:pPr>
        <w:rPr>
          <w:b/>
        </w:rPr>
      </w:pPr>
      <w:r w:rsidRPr="00A50553">
        <w:rPr>
          <w:b/>
        </w:rPr>
        <w:t>Fortschreibung der Bedarfsbegründung für das Projekt Westerweiterung des CTH</w:t>
      </w:r>
    </w:p>
    <w:p w:rsidR="00391C17" w:rsidRDefault="00391C17" w:rsidP="00CB079F">
      <w:r>
        <w:t xml:space="preserve">Die Fortschreibung der Bedarfsbegründung hat wesentliche Entwicklungen im Containerumschlag nicht berücksichtigt. Das Vorhaben kann auch durch die Ergänzungen nicht gerechtfertigt werden, da ein Bedarf weiterhin nicht vorhanden ist. Es handelt sich </w:t>
      </w:r>
      <w:r w:rsidR="00482787">
        <w:t xml:space="preserve">weiterhin </w:t>
      </w:r>
      <w:r>
        <w:t>um eine unzulässige Vorratspl</w:t>
      </w:r>
      <w:r>
        <w:t>a</w:t>
      </w:r>
      <w:r>
        <w:t>nung, die Eingriffe in meine Rechte bzw. rechtlich erheblichen Belange nicht rechtfertigen kann.</w:t>
      </w:r>
    </w:p>
    <w:p w:rsidR="00391C17" w:rsidRDefault="00391C17" w:rsidP="00A50553"/>
    <w:p w:rsidR="00391C17" w:rsidRDefault="00391C17" w:rsidP="00A50553"/>
    <w:p w:rsidR="00391C17" w:rsidRDefault="00391C17" w:rsidP="00A50553">
      <w:r>
        <w:lastRenderedPageBreak/>
        <w:t>Wie die den Planfeststellungsunterlagen beigefügte Fortschreibung der Bedarfsbegründung aufzeigt, sind die in der unter Teil A2 aufgezeigten Prognosen in den letzten sieben Jahren alle nicht eingetr</w:t>
      </w:r>
      <w:r>
        <w:t>e</w:t>
      </w:r>
      <w:r>
        <w:t xml:space="preserve">ten. Der Containerumschlag in Hamburg, in den deutschen Containerumschlagshäfen Bremerhaven und Wilhelmshaven, aber auch den </w:t>
      </w:r>
      <w:proofErr w:type="spellStart"/>
      <w:r>
        <w:t>Nordrangehäfen</w:t>
      </w:r>
      <w:proofErr w:type="spellEnd"/>
      <w:r>
        <w:t xml:space="preserve"> Antwerpen, Rotterdam und Zeebrugge stagniert von 2007 bis 2014. Amsterdam hat seit 2010 seinen Containerumschlag nahezu vollständig eing</w:t>
      </w:r>
      <w:r>
        <w:t>e</w:t>
      </w:r>
      <w:r>
        <w:t>stellt.</w:t>
      </w:r>
    </w:p>
    <w:p w:rsidR="00391C17" w:rsidRDefault="00391C17" w:rsidP="00A50553"/>
    <w:p w:rsidR="00391C17" w:rsidRDefault="00391C17" w:rsidP="00A50553">
      <w:r>
        <w:t>Die Marktpotentiale in der Fortschreibung der Bedarfsbegründung werden ausschließlich aus der Fortschreibung der alten ISL-Prognose aus 2009 im Jahre 2013 (ISL2013) abgeleitet. Diese Fortschre</w:t>
      </w:r>
      <w:r>
        <w:t>i</w:t>
      </w:r>
      <w:r>
        <w:t xml:space="preserve">bung enthält nur eine höchst unzureichende Fortschreibung der </w:t>
      </w:r>
      <w:r w:rsidRPr="000B7147">
        <w:rPr>
          <w:b/>
        </w:rPr>
        <w:t>Wettbewerbsentwicklungen</w:t>
      </w:r>
      <w:r>
        <w:t>. Dieses führt dazu, dass Umschlagsverluste für Hamburg für das Jahr 2025 angenommen werden, die bereits im Jahr 2014 realisiert wurden. Etwaige Krisen, wie die Russland/Ukraine-Krise, bleiben zudem vol</w:t>
      </w:r>
      <w:r>
        <w:t>l</w:t>
      </w:r>
      <w:r>
        <w:t>ständig unberücksichtigt. Im Einzelnen:</w:t>
      </w:r>
    </w:p>
    <w:p w:rsidR="00391C17" w:rsidRDefault="00391C17" w:rsidP="00A50553"/>
    <w:p w:rsidR="00391C17" w:rsidRDefault="00391C17" w:rsidP="000B7147">
      <w:pPr>
        <w:pStyle w:val="Listenabsatz"/>
        <w:numPr>
          <w:ilvl w:val="0"/>
          <w:numId w:val="10"/>
        </w:numPr>
      </w:pPr>
      <w:proofErr w:type="spellStart"/>
      <w:r>
        <w:t>Südrange</w:t>
      </w:r>
      <w:proofErr w:type="spellEnd"/>
    </w:p>
    <w:p w:rsidR="00391C17" w:rsidRDefault="00482787" w:rsidP="000B7147">
      <w:pPr>
        <w:pStyle w:val="Listenabsatz"/>
      </w:pPr>
      <w:r>
        <w:t xml:space="preserve">Über die </w:t>
      </w:r>
      <w:r w:rsidR="00391C17">
        <w:t xml:space="preserve">Fortschreibung </w:t>
      </w:r>
      <w:r>
        <w:t xml:space="preserve">hinaus </w:t>
      </w:r>
      <w:r w:rsidR="00391C17">
        <w:t>sind in Südeuropa beispielsweise durch Eurogate in Italien (</w:t>
      </w:r>
      <w:proofErr w:type="spellStart"/>
      <w:r w:rsidR="00391C17">
        <w:t>Gioia</w:t>
      </w:r>
      <w:proofErr w:type="spellEnd"/>
      <w:r w:rsidR="00391C17">
        <w:t xml:space="preserve"> </w:t>
      </w:r>
      <w:proofErr w:type="spellStart"/>
      <w:r w:rsidR="00391C17">
        <w:t>Tauro</w:t>
      </w:r>
      <w:proofErr w:type="spellEnd"/>
      <w:r w:rsidR="00391C17">
        <w:t>) und durch COSCO in Griechenland (Piräus-die neue griechische Regierung hat sich ausdrücklich zum Bestand der COSCO-Verträge bekannt) erhebliche Terminalkapazitäten aufgebaut worden, die für einen deutlich rationelleren Containerumschlag in Gebieten des bisherigen Hamburger Hafenhinterlandes wie Tschechien, die Slowakei, Ungarn, Österreich und die Schweiz genutzt werden. Schienen- und Straßeninfrastrukturprojekte zur Anbindu</w:t>
      </w:r>
      <w:r w:rsidR="00391C17">
        <w:t>n</w:t>
      </w:r>
      <w:r w:rsidR="00391C17">
        <w:t>gen der Häfen an das Hinterland durch die Magistralen des TENT-Netzes sind bereits in der Umsetzung und werden in 2016 fertig gestellt sein.</w:t>
      </w:r>
    </w:p>
    <w:p w:rsidR="00391C17" w:rsidRDefault="00391C17" w:rsidP="000B7147">
      <w:pPr>
        <w:pStyle w:val="Listenabsatz"/>
      </w:pPr>
    </w:p>
    <w:p w:rsidR="00391C17" w:rsidRDefault="00391C17" w:rsidP="00A50553">
      <w:pPr>
        <w:pStyle w:val="Listenabsatz"/>
        <w:numPr>
          <w:ilvl w:val="0"/>
          <w:numId w:val="10"/>
        </w:numPr>
      </w:pPr>
      <w:r>
        <w:t>Direktanläufe</w:t>
      </w:r>
      <w:r>
        <w:br/>
        <w:t xml:space="preserve">Es mutet absurd an, wenn in ISL2013 für 2012 durch den </w:t>
      </w:r>
      <w:proofErr w:type="spellStart"/>
      <w:r>
        <w:t>Maersk</w:t>
      </w:r>
      <w:proofErr w:type="spellEnd"/>
      <w:r>
        <w:t>-Direktdienst 0,4MTEU U</w:t>
      </w:r>
      <w:r>
        <w:t>m</w:t>
      </w:r>
      <w:r>
        <w:t xml:space="preserve">schlagsabfluss für Hamburg festgestellt werden und bis 2025 lediglich eine Steigerung um 0,1 MTEU auf 0,5 MTEU für das Jahr 2025 angenommen wird. Seit Erstellung von ISL wird nicht nur Danzig im </w:t>
      </w:r>
      <w:r w:rsidRPr="000E56BE">
        <w:t xml:space="preserve">baltischen Raum </w:t>
      </w:r>
      <w:r>
        <w:t xml:space="preserve">angelaufen. Vielmehr bestehen auch Direktverbindungen zu den </w:t>
      </w:r>
      <w:r w:rsidRPr="000E56BE">
        <w:t xml:space="preserve">Tiefwasserhäfen </w:t>
      </w:r>
      <w:proofErr w:type="spellStart"/>
      <w:r w:rsidRPr="000E56BE">
        <w:t>Aarhus</w:t>
      </w:r>
      <w:proofErr w:type="spellEnd"/>
      <w:r w:rsidRPr="000E56BE">
        <w:t xml:space="preserve">, Göteborg, </w:t>
      </w:r>
      <w:proofErr w:type="spellStart"/>
      <w:r w:rsidRPr="000E56BE">
        <w:t>Klaipeda</w:t>
      </w:r>
      <w:proofErr w:type="spellEnd"/>
      <w:r>
        <w:rPr>
          <w:rStyle w:val="Funotenzeichen"/>
        </w:rPr>
        <w:footnoteReference w:id="4"/>
      </w:r>
      <w:r w:rsidRPr="000E56BE">
        <w:t xml:space="preserve"> (AE10)</w:t>
      </w:r>
      <w:r>
        <w:t>.</w:t>
      </w:r>
    </w:p>
    <w:p w:rsidR="00391C17" w:rsidRDefault="00391C17" w:rsidP="000B7147">
      <w:pPr>
        <w:pStyle w:val="Listenabsatz"/>
      </w:pPr>
    </w:p>
    <w:p w:rsidR="00391C17" w:rsidRDefault="00391C17" w:rsidP="00A50553">
      <w:pPr>
        <w:pStyle w:val="Listenabsatz"/>
        <w:numPr>
          <w:ilvl w:val="0"/>
          <w:numId w:val="10"/>
        </w:numPr>
      </w:pPr>
      <w:r>
        <w:t>Marktanteilsrückgewinne</w:t>
      </w:r>
    </w:p>
    <w:p w:rsidR="00391C17" w:rsidRDefault="00391C17" w:rsidP="000B7147">
      <w:pPr>
        <w:pStyle w:val="Listenabsatz"/>
      </w:pPr>
      <w:r>
        <w:t>Die prognostizierten Rückholeffekte von 2,2 MTEU bis 2015 sind bis 2014 bei weitem nicht eingetreten. Die bereits vorliegenden Steigerungsraten bei den TEU-Umschlagszahlen von Rotterdam und Antwerpen zeigen dieses mehr als deutlich. Deren Umschlagszuwächse li</w:t>
      </w:r>
      <w:r>
        <w:t>e</w:t>
      </w:r>
      <w:r>
        <w:t>gen über denen derzeit gemutmaßten Umschlagszuwachs des Hamburger Hafens. Dieses ist auf die eigenen Terminalbetriebe der größten Containerreedereien in Zeebrügge, Antwe</w:t>
      </w:r>
      <w:r>
        <w:t>r</w:t>
      </w:r>
      <w:r>
        <w:t>pen, Rotterdam sowie Bremerhaven zurückzuführen. Die Potenzialprognose ist deutlich zu optimistisch.</w:t>
      </w:r>
    </w:p>
    <w:p w:rsidR="00391C17" w:rsidRDefault="00391C17" w:rsidP="000B7147">
      <w:pPr>
        <w:pStyle w:val="Listenabsatz"/>
      </w:pPr>
    </w:p>
    <w:p w:rsidR="00391C17" w:rsidRDefault="00391C17" w:rsidP="000B7147">
      <w:pPr>
        <w:pStyle w:val="Listenabsatz"/>
        <w:numPr>
          <w:ilvl w:val="0"/>
          <w:numId w:val="10"/>
        </w:numPr>
      </w:pPr>
      <w:r>
        <w:t>Effekte der Elbvertiefung</w:t>
      </w:r>
    </w:p>
    <w:p w:rsidR="00391C17" w:rsidRDefault="00391C17" w:rsidP="000B7147">
      <w:pPr>
        <w:pStyle w:val="Listenabsatz"/>
      </w:pPr>
      <w:r>
        <w:t>Die Elbvertiefung wird entgegen der Annahmen von ISL2013 in 2015 nicht abgeschlossen sein. Frühestens zu Ende 2017 könnte mit einer Fertigstellung geplant werden. Der Ausgang des Gerichtsverfahrens am EUGH sowie beim Bundesverwaltungsgericht ist derzeit nicht a</w:t>
      </w:r>
      <w:r>
        <w:t>b</w:t>
      </w:r>
      <w:r>
        <w:t>sehbar. Latent ist mit längerfristigen Verzögerungen zu rechnen, so dass die ISL2013-Potenziale mehr als ungewiss sind.</w:t>
      </w:r>
    </w:p>
    <w:p w:rsidR="00391C17" w:rsidRDefault="00391C17" w:rsidP="000B7147">
      <w:pPr>
        <w:pStyle w:val="Listenabsatz"/>
      </w:pPr>
    </w:p>
    <w:p w:rsidR="00391C17" w:rsidRDefault="00391C17" w:rsidP="000B7147">
      <w:pPr>
        <w:pStyle w:val="Listenabsatz"/>
        <w:numPr>
          <w:ilvl w:val="0"/>
          <w:numId w:val="10"/>
        </w:numPr>
      </w:pPr>
      <w:r>
        <w:t>Jade-Weser-Port</w:t>
      </w:r>
    </w:p>
    <w:p w:rsidR="00391C17" w:rsidRDefault="00391C17" w:rsidP="000B7147">
      <w:pPr>
        <w:pStyle w:val="Listenabsatz"/>
      </w:pPr>
      <w:r>
        <w:t xml:space="preserve">Für den Jade-Weser-Port findet derzeit, also in 2015, eine spürbare Ausweitung des in 2014 marginalen Umschlags durch die Allianz 2M statt, die in Zukunft insbesondere zu Lasten von </w:t>
      </w:r>
      <w:r>
        <w:lastRenderedPageBreak/>
        <w:t>Hamburg verlaufen w</w:t>
      </w:r>
      <w:r w:rsidR="003D5C4A">
        <w:t>ird</w:t>
      </w:r>
      <w:r>
        <w:t>. Die Verluste von Hamburg in ISL2013 sind deutlich zu gering g</w:t>
      </w:r>
      <w:r>
        <w:t>e</w:t>
      </w:r>
      <w:r>
        <w:t>schätzt.</w:t>
      </w:r>
    </w:p>
    <w:p w:rsidR="00391C17" w:rsidRDefault="00391C17" w:rsidP="000B7147">
      <w:pPr>
        <w:pStyle w:val="Listenabsatz"/>
      </w:pPr>
    </w:p>
    <w:p w:rsidR="00391C17" w:rsidRDefault="00391C17" w:rsidP="00A50553">
      <w:r>
        <w:t>In der Fortschreibung der Bedarfsbegründung findet die veränderte Wettbewerbssituation keinen Einfluss und gibt somit keinen objektiven Eindruck. Ich fordere, dass die Fortschreibung der Bedarf</w:t>
      </w:r>
      <w:r>
        <w:t>s</w:t>
      </w:r>
      <w:r>
        <w:t>begründung vollständig überarbeitet werden muss. Anderenfalls fordere ich, dass die Fortschreibung als unvollständig verworfen wird.</w:t>
      </w:r>
    </w:p>
    <w:p w:rsidR="00391C17" w:rsidRDefault="00391C17" w:rsidP="00A50553"/>
    <w:p w:rsidR="00391C17" w:rsidRDefault="00391C17" w:rsidP="00A50553">
      <w:r>
        <w:t>Auch die vom Bundesministerium für Verkehr und Infrastruktur in Auftrag gegebene Verkehrsve</w:t>
      </w:r>
      <w:r>
        <w:t>r</w:t>
      </w:r>
      <w:r>
        <w:t xml:space="preserve">flechtungsprognose 2030 mit der von der MWB GmbH integrierten „Seeverkehrsprognose 2030“ vom 13.06.2014 bleibt trotz größter Aktualität und </w:t>
      </w:r>
      <w:proofErr w:type="spellStart"/>
      <w:r>
        <w:t>Offizialität</w:t>
      </w:r>
      <w:proofErr w:type="spellEnd"/>
      <w:r>
        <w:t xml:space="preserve"> weiterhin unberücksichtigt. Im Gege</w:t>
      </w:r>
      <w:r>
        <w:t>n</w:t>
      </w:r>
      <w:r>
        <w:t xml:space="preserve">satz zu den von dem Antragsteller angeführten Prognosen geht die von der Bundesregierung erstellte Prognose von einer „spürbaren Verringerung der Wachstumsraten beim Containerumschlag der deutschen Seehäfen bis zum Jahr 2030“ aus. Für den Hamburger Hafen werden für das Jahr 2030 in einem oberen Szenario 16,9 Mio. TEU Umschlag prognostiziert, für die </w:t>
      </w:r>
      <w:r w:rsidR="003D5C4A">
        <w:t xml:space="preserve">die </w:t>
      </w:r>
      <w:r>
        <w:t>bestehenden Kapazitäten vollkommen ausreichend wäre</w:t>
      </w:r>
      <w:r w:rsidR="003D5C4A">
        <w:t>n</w:t>
      </w:r>
      <w:r>
        <w:t>.</w:t>
      </w:r>
      <w:r w:rsidR="00815533">
        <w:t xml:space="preserve"> Es ist für eine Entscheidung der Planfeststellungsbehörde nicht au</w:t>
      </w:r>
      <w:r w:rsidR="00815533">
        <w:t>s</w:t>
      </w:r>
      <w:r w:rsidR="00815533">
        <w:t>reichend, die aktuelle Seeverkehrsprognose des Bundes lediglich mit einem einzigen Absatz im ISL 2013-Gutachten anzuführen. Zumal wenn dort festgestellt, wird, dass sich diese Prognose inne</w:t>
      </w:r>
      <w:r w:rsidR="00815533">
        <w:t>r</w:t>
      </w:r>
      <w:r w:rsidR="00815533">
        <w:t>halb des ISL2013-Prognosekorridors mit mittlerer Eintrittswahrscheinlichkeit befindet und eine „</w:t>
      </w:r>
      <w:r w:rsidR="00815533" w:rsidRPr="00815533">
        <w:rPr>
          <w:i/>
        </w:rPr>
        <w:t>g</w:t>
      </w:r>
      <w:r w:rsidR="00815533" w:rsidRPr="00815533">
        <w:rPr>
          <w:i/>
        </w:rPr>
        <w:t>e</w:t>
      </w:r>
      <w:r w:rsidR="00815533" w:rsidRPr="00815533">
        <w:rPr>
          <w:i/>
        </w:rPr>
        <w:t>naue Beurteilung der Gründe für die Abweichungen zum hier berechneten neu justierten Referen</w:t>
      </w:r>
      <w:r w:rsidR="00815533" w:rsidRPr="00815533">
        <w:rPr>
          <w:i/>
        </w:rPr>
        <w:t>z</w:t>
      </w:r>
      <w:r w:rsidR="00815533" w:rsidRPr="00815533">
        <w:rPr>
          <w:i/>
        </w:rPr>
        <w:t>szenario … aufgrund der bisher verfügbaren Unterlagen zur Verkehrsverflechtungsprognose noch nicht mö</w:t>
      </w:r>
      <w:r w:rsidR="00815533" w:rsidRPr="00815533">
        <w:rPr>
          <w:i/>
        </w:rPr>
        <w:t>g</w:t>
      </w:r>
      <w:r w:rsidR="00815533" w:rsidRPr="00815533">
        <w:rPr>
          <w:i/>
        </w:rPr>
        <w:t>lich</w:t>
      </w:r>
      <w:r w:rsidR="00815533">
        <w:t xml:space="preserve">“ ist. Derart eklatante </w:t>
      </w:r>
      <w:proofErr w:type="spellStart"/>
      <w:r w:rsidR="00815533">
        <w:t>Prognosedifferenzen</w:t>
      </w:r>
      <w:proofErr w:type="spellEnd"/>
      <w:r w:rsidR="00815533">
        <w:t xml:space="preserve"> müssen vor einer derart schwergewichtigen Entsche</w:t>
      </w:r>
      <w:r w:rsidR="00815533">
        <w:t>i</w:t>
      </w:r>
      <w:r w:rsidR="00815533">
        <w:t>dung der Planfeststellungsbehörde geklärt und ausgeräumt werden. Zeit genug wäre hierfür gew</w:t>
      </w:r>
      <w:r w:rsidR="00815533">
        <w:t>e</w:t>
      </w:r>
      <w:r w:rsidR="00815533">
        <w:t>sen.</w:t>
      </w:r>
    </w:p>
    <w:p w:rsidR="00391C17" w:rsidRDefault="00391C17" w:rsidP="00A50553"/>
    <w:p w:rsidR="00391C17" w:rsidRDefault="00391C17" w:rsidP="00A50553">
      <w:r>
        <w:t>Ich fordere, dass andere</w:t>
      </w:r>
      <w:r w:rsidR="00815533">
        <w:t>, aktuellere</w:t>
      </w:r>
      <w:r>
        <w:t xml:space="preserve"> Potenzial- und Planungsprognosen</w:t>
      </w:r>
      <w:r w:rsidR="00815533">
        <w:t>, z.B. die der Bundesregierung,</w:t>
      </w:r>
      <w:r>
        <w:t xml:space="preserve"> für die Planfeststellung </w:t>
      </w:r>
      <w:r w:rsidR="00815533">
        <w:t xml:space="preserve">eine zumindest gleichberechtigte </w:t>
      </w:r>
      <w:r>
        <w:t>Berücksichtigung finden</w:t>
      </w:r>
      <w:r w:rsidR="00815533">
        <w:t xml:space="preserve"> und dargelegt wird, aus welchen Annahmen eine aktuellere Prognose zu Gunsten einer veralteten Prognose, die diverse eingetretene Änderungen unberücksichtigt lässt, verworfen wird</w:t>
      </w:r>
      <w:r>
        <w:t>. Erfolgt dieses nicht, fordere ich, dass die Fortschreibung der Bedarfsbegründung als veraltet ve</w:t>
      </w:r>
      <w:r>
        <w:t>r</w:t>
      </w:r>
      <w:r>
        <w:t>worfen wird.</w:t>
      </w:r>
    </w:p>
    <w:p w:rsidR="00391C17" w:rsidRDefault="00391C17" w:rsidP="00A50553"/>
    <w:p w:rsidR="00391C17" w:rsidRDefault="00391C17" w:rsidP="00A50553"/>
    <w:p w:rsidR="00391C17" w:rsidRDefault="00391C17" w:rsidP="00645EEF">
      <w:r>
        <w:t>Wir bereits kritisiert, wird eine umfassende und detaillierte langjährige terminal- und reedereibez</w:t>
      </w:r>
      <w:r>
        <w:t>o</w:t>
      </w:r>
      <w:r>
        <w:t>gene strategische Umschlagsplanung des Containerumschlages für die Stadt Hamburg nicht vorg</w:t>
      </w:r>
      <w:r>
        <w:t>e</w:t>
      </w:r>
      <w:r>
        <w:t xml:space="preserve">nommen. </w:t>
      </w:r>
    </w:p>
    <w:p w:rsidR="00391C17" w:rsidRDefault="00391C17" w:rsidP="00645EEF"/>
    <w:p w:rsidR="00391C17" w:rsidRDefault="00391C17" w:rsidP="000B7147">
      <w:r>
        <w:t xml:space="preserve">In der Aktualisierung der Bedarfsbegründung wird sogar </w:t>
      </w:r>
      <w:r w:rsidR="003D5C4A">
        <w:t>von</w:t>
      </w:r>
      <w:r>
        <w:t xml:space="preserve"> einer „bedarfsgerechten Bereitstellung von Umschlagskapazitäten“ geschrieben, nachdem zuvor aus einer überschlägigen Betrachtung eine</w:t>
      </w:r>
      <w:r w:rsidRPr="000B7147">
        <w:t xml:space="preserve"> jahresdurchschnittli</w:t>
      </w:r>
      <w:r>
        <w:t>che</w:t>
      </w:r>
      <w:r w:rsidRPr="000B7147">
        <w:t xml:space="preserve"> Kaiproduktivität von 2.000 TEU pro laufende</w:t>
      </w:r>
      <w:r>
        <w:t>n</w:t>
      </w:r>
      <w:r w:rsidRPr="000B7147">
        <w:t xml:space="preserve"> Meter</w:t>
      </w:r>
      <w:r>
        <w:t xml:space="preserve"> </w:t>
      </w:r>
      <w:r w:rsidRPr="000B7147">
        <w:t>Kaimauer</w:t>
      </w:r>
      <w:r>
        <w:t xml:space="preserve"> für die Ha</w:t>
      </w:r>
      <w:r>
        <w:t>m</w:t>
      </w:r>
      <w:r>
        <w:t xml:space="preserve">burger Terminals festgestellt wird. Es wird eingeräumt, dass die </w:t>
      </w:r>
      <w:r w:rsidRPr="000B7147">
        <w:t>tatsächlichen Kapazitäten von einer Vielzahl von Faktoren wie beispielsweise</w:t>
      </w:r>
      <w:r>
        <w:t xml:space="preserve"> </w:t>
      </w:r>
      <w:r w:rsidRPr="000B7147">
        <w:t>Geländezuschnitt, Umschlaggerät, Terminalorganisation und Flottenstruktur</w:t>
      </w:r>
      <w:r>
        <w:t xml:space="preserve"> </w:t>
      </w:r>
      <w:r w:rsidRPr="000B7147">
        <w:t>abhängig</w:t>
      </w:r>
      <w:r>
        <w:t xml:space="preserve"> sind, ohne dass diese dargestellt werden</w:t>
      </w:r>
      <w:r w:rsidRPr="000B7147">
        <w:t>.</w:t>
      </w:r>
      <w:r>
        <w:t xml:space="preserve"> Trotzdem werden </w:t>
      </w:r>
      <w:proofErr w:type="spellStart"/>
      <w:r>
        <w:t>Alternativenprüfungen</w:t>
      </w:r>
      <w:proofErr w:type="spellEnd"/>
      <w:r>
        <w:t xml:space="preserve"> für Kapazitätssteigerungen, d.h. ohne den Bau des Vorhabens, unterlassen.</w:t>
      </w:r>
    </w:p>
    <w:p w:rsidR="00391C17" w:rsidRDefault="00391C17" w:rsidP="00645EEF"/>
    <w:p w:rsidR="00391C17" w:rsidRDefault="00391C17" w:rsidP="00645EEF">
      <w:r>
        <w:t>Verschärfend scheint in der Fortschreibung davon ausgegangen zu werden, dass man die Anläufe der Reedereien dirigistisch von einem Terminal zum anderen Terminal umleiten kann. Implizit wird au</w:t>
      </w:r>
      <w:r>
        <w:t>f</w:t>
      </w:r>
      <w:r>
        <w:t>gezeigt, dass bei Überlastungen eines Terminals Umschlagsverlagerungen auf andere Terminals vo</w:t>
      </w:r>
      <w:r>
        <w:t>r</w:t>
      </w:r>
      <w:r>
        <w:t>genommen werden könnten. Ist beispielsweise am CTA für ein Hapag-Lloyd-Schiff keine Kapazität mehr vorhanden, geht man davon aus, dieses Schiff zum CTH umleiten zu können. Diese Art der kur</w:t>
      </w:r>
      <w:r>
        <w:t>z</w:t>
      </w:r>
      <w:r>
        <w:t>fristigen Ladungsverschiebung erfordert eine staatliche Lenkung des Containerumschlages. Das ist nicht nur unter Betrachtung der nachfolgenden logistischen Prozesse unrealistisch. In Zeiten der EU-Port-</w:t>
      </w:r>
      <w:proofErr w:type="spellStart"/>
      <w:r>
        <w:t>Package</w:t>
      </w:r>
      <w:proofErr w:type="spellEnd"/>
      <w:r>
        <w:t>-Bestrebungen bedarf es einer sehr</w:t>
      </w:r>
      <w:r w:rsidR="001275FA">
        <w:t xml:space="preserve"> sorgfältigen Prüfung. Da diese</w:t>
      </w:r>
      <w:r>
        <w:t xml:space="preserve"> Ladungslenkung auch von den Antragsstellern, wenn man den Ausführungen des ZDS-Präsidenten Klaus-Dieter Peters im </w:t>
      </w:r>
      <w:r>
        <w:lastRenderedPageBreak/>
        <w:t>Abendblatt vom 19.11.2014 zu einer nationalen Hafenkooperation folgt „</w:t>
      </w:r>
      <w:r w:rsidRPr="001275FA">
        <w:rPr>
          <w:i/>
        </w:rPr>
        <w:t>Die Forderungen nach einer dirigistischen Ladungslenkung seien jedoch extrem interessengeleitet und stünden nicht im Einklang mit dem deutschen und europäischen Kartellrecht sowie und den Anforderungen der Ku</w:t>
      </w:r>
      <w:r w:rsidRPr="001275FA">
        <w:rPr>
          <w:i/>
        </w:rPr>
        <w:t>n</w:t>
      </w:r>
      <w:r w:rsidRPr="001275FA">
        <w:rPr>
          <w:i/>
        </w:rPr>
        <w:t>den.</w:t>
      </w:r>
      <w:r>
        <w:t xml:space="preserve">“, nicht gewünscht ist, kann sie nicht Bestandteil des Planfeststellungsverfahrens sein. </w:t>
      </w:r>
    </w:p>
    <w:p w:rsidR="00391C17" w:rsidRDefault="00391C17" w:rsidP="00645EEF"/>
    <w:p w:rsidR="00391C17" w:rsidRDefault="00391C17" w:rsidP="00A50553">
      <w:r>
        <w:t>Da diese Prüfung dieser Antragstellung nicht beigefügt worden ist, fordere ich, dass diese nachgeholt wird, oder diese streng vereinfachten Annahmen des Antragstellers unberücksichtigt bleiben. Ich fordere, dass für die Prüfung der Antragstellung eine umfassende und detaillierte langjährige term</w:t>
      </w:r>
      <w:r>
        <w:t>i</w:t>
      </w:r>
      <w:r>
        <w:t>nal- und reedereibezogene strategische Umschlagsplanung des Containerumschlages für die Stadt Hamburg vorgelegt wird.</w:t>
      </w:r>
    </w:p>
    <w:p w:rsidR="00391C17" w:rsidRDefault="00391C17" w:rsidP="00A50553"/>
    <w:p w:rsidR="00391C17" w:rsidRDefault="00391C17" w:rsidP="00A50553"/>
    <w:p w:rsidR="00391C17" w:rsidRDefault="00815533" w:rsidP="00A50553">
      <w:r>
        <w:t>In der Fortschreibung zur Bedarfsbegründung werden die bestehenden Containerumschlagskapazit</w:t>
      </w:r>
      <w:r>
        <w:t>ä</w:t>
      </w:r>
      <w:r>
        <w:t xml:space="preserve">ten über die vier Terminals mit Stand 11/2014 mit 18 Mio. TEU angegeben. Die ISL2013-Potenzialprognose gibt als </w:t>
      </w:r>
      <w:proofErr w:type="spellStart"/>
      <w:r>
        <w:t>Prognosekorridor</w:t>
      </w:r>
      <w:proofErr w:type="spellEnd"/>
      <w:r>
        <w:t xml:space="preserve"> des Referenzszenarios für das Jahr 2025 einen Umschlag von 15,4 Mio. TEU und für das Jahr 2030 von 18,6 Mio. TEU an. Das Referenzszenario kann mit den bestehenden Kapazitäten ohne die Realisierung der bereits angeführten Potentiale abgebildet we</w:t>
      </w:r>
      <w:r>
        <w:t>r</w:t>
      </w:r>
      <w:r>
        <w:t>den.</w:t>
      </w:r>
    </w:p>
    <w:p w:rsidR="00815533" w:rsidRDefault="00815533" w:rsidP="00A50553"/>
    <w:p w:rsidR="00815533" w:rsidRDefault="00815533" w:rsidP="00815533">
      <w:r>
        <w:t>Die Schlussfolgerungen in der Fortschreibung der Bedarfsbegründung sind unerklärlich: „</w:t>
      </w:r>
      <w:r w:rsidRPr="00E52114">
        <w:rPr>
          <w:i/>
        </w:rPr>
        <w:t xml:space="preserve">Für den optimistischen </w:t>
      </w:r>
      <w:proofErr w:type="spellStart"/>
      <w:r w:rsidRPr="00E52114">
        <w:rPr>
          <w:i/>
        </w:rPr>
        <w:t>Prognosepfad</w:t>
      </w:r>
      <w:proofErr w:type="spellEnd"/>
      <w:r w:rsidRPr="00E52114">
        <w:rPr>
          <w:i/>
        </w:rPr>
        <w:t xml:space="preserve"> (19,3 Millionen TEU im Jahr 2025) würde die Inbetriebnahme zusätzl</w:t>
      </w:r>
      <w:r w:rsidRPr="00E52114">
        <w:rPr>
          <w:i/>
        </w:rPr>
        <w:t>i</w:t>
      </w:r>
      <w:r w:rsidRPr="00E52114">
        <w:rPr>
          <w:i/>
        </w:rPr>
        <w:t>cher Umschlagkapazität etwa ab dem Jahr 2020 benötigt, da in diesem Szenario erwartet werden kann, dass dann mehr als 14 Mio. TEU im Hamburger H</w:t>
      </w:r>
      <w:r w:rsidRPr="00E52114">
        <w:rPr>
          <w:i/>
        </w:rPr>
        <w:t>a</w:t>
      </w:r>
      <w:r w:rsidRPr="00E52114">
        <w:rPr>
          <w:i/>
        </w:rPr>
        <w:t>fen umgeschlagen werden.</w:t>
      </w:r>
      <w:r>
        <w:t xml:space="preserve">“ </w:t>
      </w:r>
    </w:p>
    <w:p w:rsidR="00815533" w:rsidRDefault="00815533" w:rsidP="00815533"/>
    <w:p w:rsidR="00E52114" w:rsidRDefault="00815533" w:rsidP="00815533">
      <w:r>
        <w:t xml:space="preserve">Die </w:t>
      </w:r>
      <w:r w:rsidR="00E52114">
        <w:t xml:space="preserve">im </w:t>
      </w:r>
      <w:r w:rsidR="00E52114" w:rsidRPr="00E52114">
        <w:rPr>
          <w:b/>
        </w:rPr>
        <w:t xml:space="preserve">optimistischen </w:t>
      </w:r>
      <w:proofErr w:type="spellStart"/>
      <w:r w:rsidR="00E52114" w:rsidRPr="00E52114">
        <w:rPr>
          <w:b/>
        </w:rPr>
        <w:t>Prognosepfad</w:t>
      </w:r>
      <w:proofErr w:type="spellEnd"/>
      <w:r w:rsidR="00E52114">
        <w:t xml:space="preserve"> dargelegte </w:t>
      </w:r>
      <w:r>
        <w:t xml:space="preserve">Zahl von 14 Mio. TEU </w:t>
      </w:r>
      <w:r w:rsidR="00E52114">
        <w:t xml:space="preserve">Umschlag </w:t>
      </w:r>
      <w:r>
        <w:t xml:space="preserve">für das Jahr 2020 </w:t>
      </w:r>
      <w:r w:rsidR="00E52114">
        <w:t xml:space="preserve">liegt mit 4 Mio. TEU </w:t>
      </w:r>
      <w:r w:rsidR="00E52114" w:rsidRPr="00E52114">
        <w:rPr>
          <w:b/>
        </w:rPr>
        <w:t>unter den bestehenden IST-Kapazitäten des Jahres 2014</w:t>
      </w:r>
      <w:r w:rsidR="00E52114">
        <w:t xml:space="preserve">. Folgt man diesem </w:t>
      </w:r>
      <w:proofErr w:type="spellStart"/>
      <w:r w:rsidR="00E52114">
        <w:t>Prognosepfad</w:t>
      </w:r>
      <w:proofErr w:type="spellEnd"/>
      <w:r w:rsidR="00E52114">
        <w:t>, würden weitere vier Jahre später im Jahre 2024, ohne die Berücksichtigung der von mir bereits angeführten bekannten Produktivitätssteigerungen an den bestehenden Terminals, die IST-Kapazitäten mit 18 Mio. TEU dem in ISL2013 prognostiziertem Umschlag von 17,9 Mio. TEU en</w:t>
      </w:r>
      <w:r w:rsidR="00E52114">
        <w:t>t</w:t>
      </w:r>
      <w:r w:rsidR="00E52114">
        <w:t>sprechen.</w:t>
      </w:r>
    </w:p>
    <w:p w:rsidR="00E52114" w:rsidRDefault="00E52114" w:rsidP="00815533"/>
    <w:p w:rsidR="00E52114" w:rsidRDefault="00E52114" w:rsidP="00815533">
      <w:r>
        <w:t>Die Bauzeit für das Vorhaben wird mit „sensationellen“ sechs Jahren angegeben. Nicht mal der Ne</w:t>
      </w:r>
      <w:r>
        <w:t>u</w:t>
      </w:r>
      <w:r>
        <w:t>bau des Jade-Weser-Ports hat einen derartigen Zeitvorrat nach Planfeststellung trotz der bekannten Widrigkeiten benötigt. Hamburger Terminalerweiterungen, z.B. CTA, wurden in nicht einmal der Häl</w:t>
      </w:r>
      <w:r>
        <w:t>f</w:t>
      </w:r>
      <w:r>
        <w:t>te der Zeit durchgeführt. Würde man dem Bauherrn trotzdem eine enorme Langsamkeit zubilligen und die bis 2018 realisierten Produktivitätssteigerungen zudem ignorieren wollen, wäre es trotzdem vollkommen ausreichend, die Planfestste</w:t>
      </w:r>
      <w:r>
        <w:t>l</w:t>
      </w:r>
      <w:r>
        <w:t>lung erst zum Jahre 2018 durchführen zu lassen.</w:t>
      </w:r>
    </w:p>
    <w:p w:rsidR="00E52114" w:rsidRDefault="00E52114" w:rsidP="00815533"/>
    <w:p w:rsidR="00E52114" w:rsidRDefault="00E52114" w:rsidP="00815533">
      <w:r>
        <w:t>Bei Anwendung des Referenzszenarios würden die IST-Kapazitäten des Jahres 2014 dem prognost</w:t>
      </w:r>
      <w:r>
        <w:t>i</w:t>
      </w:r>
      <w:r>
        <w:t>zierten Umschlag bis zum Jahre 2029 mit 17,9 Mio. TEU ebenfalls vollumfänglich entsprechen.</w:t>
      </w:r>
    </w:p>
    <w:p w:rsidR="00E52114" w:rsidRDefault="00E52114" w:rsidP="00815533"/>
    <w:p w:rsidR="00E52114" w:rsidRDefault="00E52114" w:rsidP="00815533">
      <w:r>
        <w:t>Die Planfeststellung wird somit vier Jahre zu früh durchgeführt. Wenn dieses keine Vorratspolitik zu Lasten der Umwelt, der Menschen und der Steuerzahler sein soll, muss dieses im Planfeststellung</w:t>
      </w:r>
      <w:r>
        <w:t>s</w:t>
      </w:r>
      <w:r>
        <w:t>antrag ausführlich erläutert werden.</w:t>
      </w:r>
    </w:p>
    <w:p w:rsidR="00E52114" w:rsidRDefault="00E52114" w:rsidP="00815533"/>
    <w:p w:rsidR="00E52114" w:rsidRDefault="00E52114" w:rsidP="00815533">
      <w:r>
        <w:t xml:space="preserve">Ich fordere eine realistische und transparente Darstellung des zeitlichen Ablaufes des Vorhabens ohne mehrfache Berücksichtigung von „doppelte Böden“ durch falsche Anwendung von </w:t>
      </w:r>
      <w:proofErr w:type="spellStart"/>
      <w:r>
        <w:t>Prognosezahlen</w:t>
      </w:r>
      <w:proofErr w:type="spellEnd"/>
      <w:r>
        <w:t xml:space="preserve"> und/oder Bauzeiten. Ich fordere, dass sämtliche Vorräte in Prognosen und Bauzeiten in einem Diagramm und Erklärungen dargelegt werden. Ich fordere, dass die Zeit- und </w:t>
      </w:r>
      <w:proofErr w:type="spellStart"/>
      <w:r>
        <w:t>Kapazitäts</w:t>
      </w:r>
      <w:proofErr w:type="spellEnd"/>
      <w:r>
        <w:t xml:space="preserve"> Vorräte auf ein Maß reduziert werden, dass dem „Stand der Wissenschaft“ und dem „Stand der Technik“ entspricht.</w:t>
      </w:r>
    </w:p>
    <w:p w:rsidR="00E52114" w:rsidRDefault="00E52114" w:rsidP="00815533"/>
    <w:p w:rsidR="00815533" w:rsidRDefault="00815533" w:rsidP="00A50553"/>
    <w:p w:rsidR="00391C17" w:rsidRPr="00A50553" w:rsidRDefault="00391C17" w:rsidP="00947103">
      <w:pPr>
        <w:rPr>
          <w:b/>
        </w:rPr>
      </w:pPr>
      <w:r>
        <w:rPr>
          <w:b/>
        </w:rPr>
        <w:lastRenderedPageBreak/>
        <w:t>Einwendung zu Teil B</w:t>
      </w:r>
      <w:r w:rsidRPr="00A50553">
        <w:rPr>
          <w:b/>
        </w:rPr>
        <w:t>.2</w:t>
      </w:r>
      <w:r>
        <w:rPr>
          <w:b/>
        </w:rPr>
        <w:t>.6 Schutzgut Luft</w:t>
      </w:r>
    </w:p>
    <w:p w:rsidR="00391C17" w:rsidRDefault="00391C17" w:rsidP="00947103"/>
    <w:p w:rsidR="00391C17" w:rsidRDefault="00391C17" w:rsidP="00947103">
      <w:r>
        <w:t>Das Vorhaben kann nicht gerechtfertigt werden, da die zu erwartenden Luftimmissionen sowohl die unmittelbaren Anwohner sowie die Hamburgische Bevölkerung insgesamt gesundheitlich gefährden.</w:t>
      </w:r>
    </w:p>
    <w:p w:rsidR="00391C17" w:rsidRDefault="00391C17" w:rsidP="00947103"/>
    <w:p w:rsidR="00391C17" w:rsidRDefault="00391C17" w:rsidP="00947103">
      <w:r>
        <w:t>Wie bereits im Planfeststellungsantrag beschrieben, verursachen der Schiffsverkehr, aber auch Schi</w:t>
      </w:r>
      <w:r>
        <w:t>f</w:t>
      </w:r>
      <w:r>
        <w:t xml:space="preserve">fe während ihrer Liegezeit an den Kaianlagen, einen Schadstoffausstoß von u.a. </w:t>
      </w:r>
      <w:proofErr w:type="spellStart"/>
      <w:r>
        <w:t>NO</w:t>
      </w:r>
      <w:r>
        <w:rPr>
          <w:vertAlign w:val="subscript"/>
        </w:rPr>
        <w:t>x</w:t>
      </w:r>
      <w:proofErr w:type="spellEnd"/>
      <w:r>
        <w:t>, SO</w:t>
      </w:r>
      <w:r>
        <w:rPr>
          <w:vertAlign w:val="subscript"/>
        </w:rPr>
        <w:t>2</w:t>
      </w:r>
      <w:r>
        <w:t>, CO</w:t>
      </w:r>
      <w:r>
        <w:rPr>
          <w:vertAlign w:val="subscript"/>
        </w:rPr>
        <w:t>2</w:t>
      </w:r>
      <w:r>
        <w:t>, Ko</w:t>
      </w:r>
      <w:r>
        <w:t>h</w:t>
      </w:r>
      <w:r>
        <w:t>lenwasserstoffen wie Benzol sowie Feinstaub in Form von PM2,5 und PM10.</w:t>
      </w:r>
    </w:p>
    <w:p w:rsidR="00391C17" w:rsidRDefault="00391C17" w:rsidP="00947103">
      <w:pPr>
        <w:rPr>
          <w:b/>
        </w:rPr>
      </w:pPr>
    </w:p>
    <w:p w:rsidR="00391C17" w:rsidRDefault="00391C17" w:rsidP="00947103">
      <w:pPr>
        <w:rPr>
          <w:b/>
        </w:rPr>
      </w:pPr>
    </w:p>
    <w:p w:rsidR="00391C17" w:rsidRPr="00372010" w:rsidRDefault="00391C17" w:rsidP="00947103">
      <w:pPr>
        <w:rPr>
          <w:b/>
        </w:rPr>
      </w:pPr>
      <w:r w:rsidRPr="00372010">
        <w:rPr>
          <w:b/>
        </w:rPr>
        <w:t>Schiffsfahrten und Liegezeiten sowie Emissionsfaktoren</w:t>
      </w:r>
    </w:p>
    <w:p w:rsidR="00391C17" w:rsidRDefault="00391C17" w:rsidP="004A6D07">
      <w:r>
        <w:t xml:space="preserve">Die in der UVU getroffenen Annahmen zu Schiffsfahrten und Liegezeiten sowie Emissionsfaktoren sind falsch. Laut </w:t>
      </w:r>
      <w:r w:rsidRPr="004A6D07">
        <w:t>Gesetz zur Umsetzung der Richtlinie 2005/33/EG des Europäischen Parlaments</w:t>
      </w:r>
      <w:r>
        <w:t xml:space="preserve"> </w:t>
      </w:r>
      <w:r w:rsidRPr="004A6D07">
        <w:t>und des Rates</w:t>
      </w:r>
      <w:r>
        <w:t xml:space="preserve"> (Schwefelgesetz) müssen Schiffe ihre Hauptmaschine erst zwei Stunden nach dem Festm</w:t>
      </w:r>
      <w:r>
        <w:t>a</w:t>
      </w:r>
      <w:r>
        <w:t xml:space="preserve">chen des Schiffes </w:t>
      </w:r>
      <w:r w:rsidR="001275FA">
        <w:t>abstellen</w:t>
      </w:r>
      <w:r>
        <w:t xml:space="preserve"> und </w:t>
      </w:r>
      <w:r w:rsidR="001275FA">
        <w:t xml:space="preserve">dürfen </w:t>
      </w:r>
      <w:r>
        <w:t>frühestens 20 Minuten vor Verlassen des Liegeplatzes ang</w:t>
      </w:r>
      <w:r>
        <w:t>e</w:t>
      </w:r>
      <w:r>
        <w:t>schaltet werden. Damit werden die extrem belastenden Zeiten der Luftverschmutzung durch die Haup</w:t>
      </w:r>
      <w:r>
        <w:t>t</w:t>
      </w:r>
      <w:r>
        <w:t>maschine zu Gunsten der belastenden Zeiten der Hilfsmaschinen irreführend verändert. Durch eig</w:t>
      </w:r>
      <w:r>
        <w:t>e</w:t>
      </w:r>
      <w:r>
        <w:t xml:space="preserve">ne Beobachtungen ist festzustellen, dass die vom Gesetzgeber vorgegebenen Zeiten strapaziert werden. Gesetzesüberschreitungen, z.B. durch die </w:t>
      </w:r>
      <w:proofErr w:type="spellStart"/>
      <w:r>
        <w:t>Yangming</w:t>
      </w:r>
      <w:proofErr w:type="spellEnd"/>
      <w:r>
        <w:t xml:space="preserve"> </w:t>
      </w:r>
      <w:proofErr w:type="spellStart"/>
      <w:r>
        <w:t>Utmost</w:t>
      </w:r>
      <w:proofErr w:type="spellEnd"/>
      <w:r>
        <w:t xml:space="preserve"> bleiben unberücksichtigt. Fes</w:t>
      </w:r>
      <w:r>
        <w:t>t</w:t>
      </w:r>
      <w:r>
        <w:t>gestellte Verst</w:t>
      </w:r>
      <w:r>
        <w:t>ö</w:t>
      </w:r>
      <w:r>
        <w:t>ße gegen das Schwefelgesetz aus Hafenstaaten- und Wasserschutzpolizeikontrollen bleiben unb</w:t>
      </w:r>
      <w:r>
        <w:t>e</w:t>
      </w:r>
      <w:r>
        <w:t>rücksichtigt.</w:t>
      </w:r>
    </w:p>
    <w:p w:rsidR="00391C17" w:rsidRDefault="00391C17" w:rsidP="004A6D07"/>
    <w:p w:rsidR="00391C17" w:rsidRDefault="00391C17" w:rsidP="004A6D07">
      <w:r>
        <w:t>Die Annahme, dass Schiffskraftstoff von 0,1% Schwefelgehalt gemäß Schwefelgesetz zum Einsatz gelangt ist zudem falsch. Der Wert von 0,1% lässt gesetzliche Toleranzen der Schwefelgehalte von 0,149% zu, die von den Maschinenbetreiber vollständig ausgereizt werden, und erfordert eine Anh</w:t>
      </w:r>
      <w:r>
        <w:t>e</w:t>
      </w:r>
      <w:r>
        <w:t>bung der prognostizierten Schwefelkennwerte um 30 %.</w:t>
      </w:r>
    </w:p>
    <w:p w:rsidR="00391C17" w:rsidRDefault="00391C17" w:rsidP="004A6D07"/>
    <w:p w:rsidR="00391C17" w:rsidRDefault="00391C17" w:rsidP="004A6D07">
      <w:r>
        <w:t>Für die Anfahrt eines Schiffes und seiner Emissionsfaktoren bleibt die Ausschaltzeit der Hauptm</w:t>
      </w:r>
      <w:r>
        <w:t>a</w:t>
      </w:r>
      <w:r>
        <w:t>schine von zwei Stunden vollständig unberücksichtigt. Für die Abfahrt eines Schiffes bleibt die Vo</w:t>
      </w:r>
      <w:r>
        <w:t>r</w:t>
      </w:r>
      <w:r>
        <w:t xml:space="preserve">laufzeit von 20 Minuten vollständig unberücksichtigt. Der Schwefelgehalt im Treibstoff ist um 30% höher anzunehmen. Durch Hafenstaatenkontrollen und Wasserschutzpolizei </w:t>
      </w:r>
      <w:proofErr w:type="spellStart"/>
      <w:r>
        <w:t>fesgestellte</w:t>
      </w:r>
      <w:proofErr w:type="spellEnd"/>
      <w:r>
        <w:t xml:space="preserve"> Gesetze</w:t>
      </w:r>
      <w:r>
        <w:t>s</w:t>
      </w:r>
      <w:r>
        <w:t>überschreitungen bleiben unberücksichtigt. Ich fordere mit den vorgenannten Ausführungen, dass die Ausführungen von der Planfeststellungsbehörde als falsch erachtet werden und das UVU-Gutachten mit korrekten Werten erstellt wird.</w:t>
      </w:r>
    </w:p>
    <w:p w:rsidR="00391C17" w:rsidRDefault="00391C17" w:rsidP="00947103"/>
    <w:p w:rsidR="00391C17" w:rsidRDefault="00391C17" w:rsidP="00947103"/>
    <w:p w:rsidR="00391C17" w:rsidRPr="00F04518" w:rsidRDefault="00391C17" w:rsidP="00947103">
      <w:pPr>
        <w:rPr>
          <w:b/>
        </w:rPr>
      </w:pPr>
      <w:r w:rsidRPr="00F04518">
        <w:rPr>
          <w:b/>
        </w:rPr>
        <w:t>Emissionen, insbesondere Feinstaub</w:t>
      </w:r>
    </w:p>
    <w:p w:rsidR="00391C17" w:rsidRDefault="00391C17" w:rsidP="00947103">
      <w:r>
        <w:t>Die UVU scheint den PM2</w:t>
      </w:r>
      <w:proofErr w:type="gramStart"/>
      <w:r>
        <w:t>,5</w:t>
      </w:r>
      <w:proofErr w:type="gramEnd"/>
      <w:r>
        <w:t xml:space="preserve">, aber auch andere Schadstoffe vollständig unberücksichtigt </w:t>
      </w:r>
      <w:r w:rsidR="001275FA">
        <w:t xml:space="preserve">gelassen </w:t>
      </w:r>
      <w:r>
        <w:t>zu haben. Zwar wird der Eindruck erweckt, dass PM2,5 berücksichtigt werden würde, aber die Unters</w:t>
      </w:r>
      <w:r>
        <w:t>u</w:t>
      </w:r>
      <w:r>
        <w:t>chung</w:t>
      </w:r>
      <w:r>
        <w:t>s</w:t>
      </w:r>
      <w:r>
        <w:t>ergebnisse aus dem Jahre 2008 stehen im klaren Widerspruch zu den Erkenntnissen gemäß dem „Stand der Technik“ aus dem Jahre 2015.</w:t>
      </w:r>
    </w:p>
    <w:p w:rsidR="00391C17" w:rsidRDefault="00391C17" w:rsidP="00947103"/>
    <w:p w:rsidR="00391C17" w:rsidRDefault="00391C17" w:rsidP="00947103">
      <w:r>
        <w:t>Neuere medizinische Studien kommen zu dem Ergebnis, dass bestimmte ultrafeine Partikel über die Lunge ins Herz wandern und somit Herzinfarkte der hauptsächliche Krankheitsfaktor durch Luftve</w:t>
      </w:r>
      <w:r>
        <w:t>r</w:t>
      </w:r>
      <w:r>
        <w:t>schmutzung ist. Jährlich sterben mindestens 20.000 Menschen in Europa aufgrund von Schiffsemiss</w:t>
      </w:r>
      <w:r>
        <w:t>i</w:t>
      </w:r>
      <w:r>
        <w:t>onen. Auch die Reduzierung des Schwefelanteils im Schiffstreibstoff auf 0,1 % liegt noch hundertfach über den zugelassenen Werten von Benzin an der Autotankstelle. Eine Festlegung neuer Grenzwerte für Stickoxide ist bisher nicht erfolgt. Die Schadstoffe begrenzen sich nicht auf einen kleinen räuml</w:t>
      </w:r>
      <w:r>
        <w:t>i</w:t>
      </w:r>
      <w:r>
        <w:t>chen Bereich rund um den Hafen, sondern werden durch den Wind mehr als 100 km über Land g</w:t>
      </w:r>
      <w:r>
        <w:t>e</w:t>
      </w:r>
      <w:r>
        <w:t>tragen und gefährden somit auch Binnenlandbewohner in Niedersachsen und Schleswig-Holstein. (NDR Info, 23.01.2015 „Wie gesundheitsgefährdend sind Schiffsabgase“).</w:t>
      </w:r>
    </w:p>
    <w:p w:rsidR="00391C17" w:rsidRDefault="00391C17" w:rsidP="00947103"/>
    <w:p w:rsidR="00391C17" w:rsidRDefault="00391C17" w:rsidP="00947103">
      <w:r>
        <w:lastRenderedPageBreak/>
        <w:t xml:space="preserve">Aktuell seien zudem angeführt die Untersuchungsergebnisse zu den Emissionen von Herrn </w:t>
      </w:r>
      <w:proofErr w:type="spellStart"/>
      <w:r>
        <w:t>Folkard</w:t>
      </w:r>
      <w:proofErr w:type="spellEnd"/>
      <w:r>
        <w:t xml:space="preserve"> </w:t>
      </w:r>
      <w:proofErr w:type="spellStart"/>
      <w:r>
        <w:t>Wittrock</w:t>
      </w:r>
      <w:proofErr w:type="spellEnd"/>
      <w:r>
        <w:t xml:space="preserve"> vom Institut für Umweltphysik der Universität Bremen sowie von Herrn Axel Friedrich, ehemaliger Abteilungsleiter im Umweltbundesamt, Herrn Michael Böttinger vom Deutschen Klimar</w:t>
      </w:r>
      <w:r>
        <w:t>e</w:t>
      </w:r>
      <w:r>
        <w:t xml:space="preserve">chenzentrum und Herrn Volker Matthias vom Helmholtz Institut Geesthacht. Die Erkenntnisse der vier Forscher zu den Verursachern </w:t>
      </w:r>
      <w:r w:rsidR="00BB1A9E">
        <w:t xml:space="preserve">Luftverschmutzung durch die </w:t>
      </w:r>
      <w:r>
        <w:t>Schifffahrt und deren Gefäh</w:t>
      </w:r>
      <w:r>
        <w:t>r</w:t>
      </w:r>
      <w:r>
        <w:t>lichkeit für die Menschen ble</w:t>
      </w:r>
      <w:r>
        <w:t>i</w:t>
      </w:r>
      <w:r>
        <w:t>ben in der UVU vollständig unberücksichtigt.</w:t>
      </w:r>
      <w:r>
        <w:rPr>
          <w:rStyle w:val="Funotenzeichen"/>
        </w:rPr>
        <w:footnoteReference w:id="5"/>
      </w:r>
      <w:r>
        <w:t xml:space="preserve"> </w:t>
      </w:r>
    </w:p>
    <w:p w:rsidR="00391C17" w:rsidRDefault="00391C17" w:rsidP="00947103"/>
    <w:p w:rsidR="00391C17" w:rsidRDefault="00391C17" w:rsidP="00372010">
      <w:r>
        <w:t>Es wird zudem in der UVU bei der Gesamtemissionsabschätzung z.B. für den Fahrzeugverkehr grob vereinfacht: „</w:t>
      </w:r>
      <w:r w:rsidRPr="00372010">
        <w:t>Zum Themenkreis Staub/Feinstaub fanden 1998 im Umweltbundesamt insgesamt drei</w:t>
      </w:r>
      <w:r>
        <w:t xml:space="preserve"> </w:t>
      </w:r>
      <w:r w:rsidRPr="00372010">
        <w:t xml:space="preserve">Fachgespräche statt [30]. Bei den mit dem Abgas von Motoren emittierten </w:t>
      </w:r>
      <w:proofErr w:type="spellStart"/>
      <w:r w:rsidRPr="00372010">
        <w:t>Partikelemissionen</w:t>
      </w:r>
      <w:proofErr w:type="spellEnd"/>
      <w:r>
        <w:t xml:space="preserve"> </w:t>
      </w:r>
      <w:r w:rsidRPr="00372010">
        <w:t>ha</w:t>
      </w:r>
      <w:r w:rsidRPr="00372010">
        <w:t>n</w:t>
      </w:r>
      <w:r w:rsidRPr="00372010">
        <w:t>delt es sich danach vollständig um Feinstaub PM10. Im Rahmen der vorliegenden</w:t>
      </w:r>
      <w:r>
        <w:t xml:space="preserve"> </w:t>
      </w:r>
      <w:r w:rsidRPr="00372010">
        <w:t>Untersuchung g</w:t>
      </w:r>
      <w:r w:rsidRPr="00372010">
        <w:t>e</w:t>
      </w:r>
      <w:r w:rsidRPr="00372010">
        <w:t xml:space="preserve">hen wir dementsprechend davon aus, dass die </w:t>
      </w:r>
      <w:proofErr w:type="spellStart"/>
      <w:r w:rsidRPr="00372010">
        <w:t>Partikelemissionen</w:t>
      </w:r>
      <w:proofErr w:type="spellEnd"/>
      <w:r>
        <w:t xml:space="preserve"> </w:t>
      </w:r>
      <w:r w:rsidRPr="00372010">
        <w:t>aus den Abgasen zu 100 % aus PM10 bestehen.</w:t>
      </w:r>
      <w:r>
        <w:t>“ Die o.a. UVU-Annahme der weiteren Emissionsquellen für die Abschätzung der Gesamtbelastung beruht auf Erkenntnissen des Jahres 1998 und schließt PM2</w:t>
      </w:r>
      <w:proofErr w:type="gramStart"/>
      <w:r>
        <w:t>,5</w:t>
      </w:r>
      <w:proofErr w:type="gramEnd"/>
      <w:r>
        <w:t xml:space="preserve"> vollständig aus. Das österreichische Umweltbundesamt</w:t>
      </w:r>
      <w:r w:rsidRPr="00372010">
        <w:rPr>
          <w:rStyle w:val="Funotenzeichen"/>
        </w:rPr>
        <w:footnoteReference w:id="6"/>
      </w:r>
      <w:r>
        <w:t xml:space="preserve"> ist hier bereits, wie die europäische Kommission</w:t>
      </w:r>
      <w:r w:rsidR="00BB1A9E">
        <w:t>,</w:t>
      </w:r>
      <w:r>
        <w:t xml:space="preserve"> </w:t>
      </w:r>
      <w:r w:rsidR="00BB1A9E">
        <w:t>im</w:t>
      </w:r>
      <w:r>
        <w:t xml:space="preserve"> „Stand der Technik“ um 17 (!) Jahre dem Stand der UVU-Gutachter voraus. In der dänischen, im Auftrage der EU-Kommission</w:t>
      </w:r>
      <w:r w:rsidRPr="00372010">
        <w:rPr>
          <w:rStyle w:val="Funotenzeichen"/>
        </w:rPr>
        <w:footnoteReference w:id="7"/>
      </w:r>
      <w:r>
        <w:t xml:space="preserve"> </w:t>
      </w:r>
      <w:r w:rsidR="00BB1A9E">
        <w:t xml:space="preserve">erstellten </w:t>
      </w:r>
      <w:r>
        <w:t xml:space="preserve">Studie des </w:t>
      </w:r>
      <w:r w:rsidRPr="00372010">
        <w:t xml:space="preserve">Center </w:t>
      </w:r>
      <w:proofErr w:type="spellStart"/>
      <w:r w:rsidRPr="00372010">
        <w:t>for</w:t>
      </w:r>
      <w:proofErr w:type="spellEnd"/>
      <w:r w:rsidRPr="00372010">
        <w:t xml:space="preserve"> </w:t>
      </w:r>
      <w:proofErr w:type="spellStart"/>
      <w:r w:rsidRPr="00372010">
        <w:t>Energy</w:t>
      </w:r>
      <w:proofErr w:type="spellEnd"/>
      <w:r w:rsidRPr="00372010">
        <w:t xml:space="preserve">, Environment </w:t>
      </w:r>
      <w:proofErr w:type="spellStart"/>
      <w:r w:rsidRPr="00372010">
        <w:t>and</w:t>
      </w:r>
      <w:proofErr w:type="spellEnd"/>
      <w:r w:rsidRPr="00372010">
        <w:t xml:space="preserve"> </w:t>
      </w:r>
      <w:proofErr w:type="spellStart"/>
      <w:r w:rsidRPr="00372010">
        <w:t>Health</w:t>
      </w:r>
      <w:proofErr w:type="spellEnd"/>
      <w:r w:rsidRPr="00372010">
        <w:t xml:space="preserve"> aus dem</w:t>
      </w:r>
      <w:r>
        <w:t xml:space="preserve"> </w:t>
      </w:r>
      <w:r w:rsidRPr="00372010">
        <w:t>Jahr</w:t>
      </w:r>
      <w:r>
        <w:t>e</w:t>
      </w:r>
      <w:r w:rsidRPr="00372010">
        <w:t xml:space="preserve"> 2011</w:t>
      </w:r>
      <w:r>
        <w:t xml:space="preserve"> we</w:t>
      </w:r>
      <w:r>
        <w:t>r</w:t>
      </w:r>
      <w:r>
        <w:t>den die Toten aus den Schiffsabgasen aufgrund des internationalen Schiffsverkehrs in der Nord- und Ostsee für das Jahr 2020 mit jährlich 13.200 Menschen quantifiziert. Als größtem deu</w:t>
      </w:r>
      <w:r>
        <w:t>t</w:t>
      </w:r>
      <w:r w:rsidR="00BB1A9E">
        <w:t>schem</w:t>
      </w:r>
      <w:r>
        <w:t xml:space="preserve"> Hafen </w:t>
      </w:r>
      <w:proofErr w:type="gramStart"/>
      <w:r>
        <w:t>dürfte</w:t>
      </w:r>
      <w:proofErr w:type="gramEnd"/>
      <w:r>
        <w:t xml:space="preserve"> Hamburg und seine hafenbezogene Luftverschmutzung einen spürbaren Anteil an diesen Toten haben. Entsprechend dem Schiffsverkehr in Hamburg, gehe ich von einer vierstell</w:t>
      </w:r>
      <w:r>
        <w:t>i</w:t>
      </w:r>
      <w:r>
        <w:t>gen Anzahl an jäh</w:t>
      </w:r>
      <w:r>
        <w:t>r</w:t>
      </w:r>
      <w:r>
        <w:t>lichen Toten aus.</w:t>
      </w:r>
    </w:p>
    <w:p w:rsidR="00391C17" w:rsidRDefault="00391C17" w:rsidP="00372010"/>
    <w:p w:rsidR="00391C17" w:rsidRDefault="00391C17" w:rsidP="00947103">
      <w:r>
        <w:t>Vor diesem Hintergrund ist die Ausweitung von Hafenflächen und somit eine Erhöhung des Schiff</w:t>
      </w:r>
      <w:r>
        <w:t>s</w:t>
      </w:r>
      <w:r>
        <w:t>verkehrs innerhalb der Stadt Hamburg eine konkrete Bedrohung der Gesundheit der Menschen. Ich beanstande, dass durch die geplante Maßnahme „Westerweiterung“ das Recht auf Gesundheit g</w:t>
      </w:r>
      <w:r>
        <w:t>e</w:t>
      </w:r>
      <w:r>
        <w:t>mäß Artikel 2 GG verletzt wird und fordere daher die Planungen einzustellen.</w:t>
      </w:r>
    </w:p>
    <w:p w:rsidR="00391C17" w:rsidRDefault="00391C17" w:rsidP="00947103"/>
    <w:p w:rsidR="00391C17" w:rsidRDefault="00391C17" w:rsidP="00947103">
      <w:r>
        <w:t>Ich fordere alternativ die UVU-Studie zur Luftschadstoffsituation zur Betriebssituation als unzulässig, nicht dem „Stand der Technik“ entsprechend und verkürzend zu verwerfen und eine umfassende Überarbeitung mit dem „Stand der Technik“ anzufordern.</w:t>
      </w:r>
    </w:p>
    <w:p w:rsidR="00391C17" w:rsidRDefault="00391C17" w:rsidP="00947103"/>
    <w:p w:rsidR="00391C17" w:rsidRDefault="00391C17" w:rsidP="00947103"/>
    <w:p w:rsidR="00391C17" w:rsidRPr="00A3486A" w:rsidRDefault="00391C17" w:rsidP="00947103">
      <w:pPr>
        <w:rPr>
          <w:b/>
        </w:rPr>
      </w:pPr>
      <w:r w:rsidRPr="00A3486A">
        <w:rPr>
          <w:b/>
        </w:rPr>
        <w:t>Einwendung zum Fachbeitrag zur Wasserrahmenrichtlinie</w:t>
      </w:r>
    </w:p>
    <w:p w:rsidR="00391C17" w:rsidRDefault="00391C17" w:rsidP="00947103"/>
    <w:p w:rsidR="00391C17" w:rsidRDefault="00391C17" w:rsidP="00947103">
      <w:r>
        <w:t>Das Vorhaben kann nicht gerechtfertigt werden, da die zu erwartenden Auswirkungen gemäß Wa</w:t>
      </w:r>
      <w:r>
        <w:t>s</w:t>
      </w:r>
      <w:r>
        <w:t>serrahmenrichtlinie zu deutlichen kurz- und langfristigen negativen Belastungen des ökologischen und chemischen Zustands der Elbe führen werden.</w:t>
      </w:r>
    </w:p>
    <w:p w:rsidR="00391C17" w:rsidRDefault="00391C17" w:rsidP="00947103"/>
    <w:p w:rsidR="002F7E06" w:rsidRDefault="002F7E06" w:rsidP="00947103"/>
    <w:p w:rsidR="00391C17" w:rsidRDefault="00391C17" w:rsidP="00947103">
      <w:r>
        <w:t>Ich bemängele an dem Fachbeitrag, dass lediglich die Einzelmaßnahme „Westerweiterung“ betrac</w:t>
      </w:r>
      <w:r>
        <w:t>h</w:t>
      </w:r>
      <w:r>
        <w:t xml:space="preserve">tet wird, ohne </w:t>
      </w:r>
      <w:r w:rsidR="002F7E06">
        <w:t xml:space="preserve">dass </w:t>
      </w:r>
      <w:r>
        <w:t>bereits erfolgte, in Ausführung befindliche bzw. kurz- bis mittelfristig geplante Maßnahmen im Hamburger Hafen und der Elbe in die Prognosen einbezogen sind. Dabei meine ich insb</w:t>
      </w:r>
      <w:r>
        <w:t>e</w:t>
      </w:r>
      <w:r>
        <w:t xml:space="preserve">sondere die Auswirkungen der geplanten 9. Elbvertiefung auf das Tidegeschehen, den Umbau des Drehkreises „innerer Hafen“ sowie die zahlreichen </w:t>
      </w:r>
      <w:proofErr w:type="spellStart"/>
      <w:r>
        <w:t>Zuschüttungen</w:t>
      </w:r>
      <w:proofErr w:type="spellEnd"/>
      <w:r>
        <w:t xml:space="preserve"> von Hafenbecken (</w:t>
      </w:r>
      <w:proofErr w:type="spellStart"/>
      <w:r>
        <w:t>Rodewischhafen</w:t>
      </w:r>
      <w:proofErr w:type="spellEnd"/>
      <w:r>
        <w:t>, Kohlenschiffhafen, Südwesthafen, Kaiser-Wil</w:t>
      </w:r>
      <w:r w:rsidR="00C8272F">
        <w:t xml:space="preserve">helm-Hafen, </w:t>
      </w:r>
      <w:proofErr w:type="spellStart"/>
      <w:r w:rsidR="00C8272F">
        <w:t>Indiahafen</w:t>
      </w:r>
      <w:proofErr w:type="spellEnd"/>
      <w:r w:rsidR="00C8272F">
        <w:t xml:space="preserve">, </w:t>
      </w:r>
      <w:proofErr w:type="spellStart"/>
      <w:r w:rsidR="00C8272F">
        <w:t>Griesen</w:t>
      </w:r>
      <w:r>
        <w:t>wer</w:t>
      </w:r>
      <w:r>
        <w:softHyphen/>
        <w:t>der</w:t>
      </w:r>
      <w:proofErr w:type="spellEnd"/>
      <w:r>
        <w:t xml:space="preserve"> Hafen, Altenwerder Hafen, Marktkanal </w:t>
      </w:r>
      <w:proofErr w:type="spellStart"/>
      <w:r>
        <w:t>Veddel</w:t>
      </w:r>
      <w:proofErr w:type="spellEnd"/>
      <w:r>
        <w:t xml:space="preserve">, </w:t>
      </w:r>
      <w:proofErr w:type="spellStart"/>
      <w:r>
        <w:t>Neuhöfer</w:t>
      </w:r>
      <w:proofErr w:type="spellEnd"/>
      <w:r>
        <w:t xml:space="preserve"> Kanal, </w:t>
      </w:r>
      <w:proofErr w:type="spellStart"/>
      <w:r>
        <w:t>Dradenauhafen</w:t>
      </w:r>
      <w:proofErr w:type="spellEnd"/>
      <w:r>
        <w:t xml:space="preserve"> etc.). Somit sind </w:t>
      </w:r>
      <w:r>
        <w:lastRenderedPageBreak/>
        <w:t xml:space="preserve">die Aussagen unvollständig bzw. fehlerhaft, da eine Betrachtung von kumulativen Auswirkungen mit den weiteren Maßnahmen nicht erfolgt ist. Ein </w:t>
      </w:r>
      <w:r w:rsidR="002F7E06">
        <w:t xml:space="preserve">weiteres </w:t>
      </w:r>
      <w:r>
        <w:t xml:space="preserve">Kennzeichen </w:t>
      </w:r>
      <w:r w:rsidR="002F7E06">
        <w:t>für die bereits angeführte</w:t>
      </w:r>
      <w:r>
        <w:t xml:space="preserve"> „S</w:t>
      </w:r>
      <w:r>
        <w:t>a</w:t>
      </w:r>
      <w:r>
        <w:t>lami-Taktik“</w:t>
      </w:r>
      <w:r w:rsidR="002F7E06">
        <w:t>.</w:t>
      </w:r>
    </w:p>
    <w:p w:rsidR="00391C17" w:rsidRDefault="00391C17" w:rsidP="00947103"/>
    <w:p w:rsidR="00391C17" w:rsidRDefault="00391C17" w:rsidP="00947103">
      <w:r>
        <w:t xml:space="preserve">Durch die Verfüllung des Petroleumhafens sowie der Umgestaltung des </w:t>
      </w:r>
      <w:proofErr w:type="spellStart"/>
      <w:r>
        <w:t>Bubendeyufers</w:t>
      </w:r>
      <w:proofErr w:type="spellEnd"/>
      <w:r>
        <w:t xml:space="preserve"> gehen netto 5,5 ha Wasserkörper verloren. Diese Verringerung hat mehrere negative Folgen, zu denen ich meine Bedenken erläutern werde. Darüber hinaus sind schwerwiegende Beeinträchtigungen des biolog</w:t>
      </w:r>
      <w:r>
        <w:t>i</w:t>
      </w:r>
      <w:r>
        <w:t>schen und chemischen Zustands während der Bauarbeiten</w:t>
      </w:r>
      <w:r w:rsidR="002F7E06">
        <w:t xml:space="preserve"> und </w:t>
      </w:r>
      <w:r>
        <w:t>auch darüber hinaus zu erwarten.</w:t>
      </w:r>
    </w:p>
    <w:p w:rsidR="00391C17" w:rsidRDefault="00391C17" w:rsidP="00947103"/>
    <w:p w:rsidR="00391C17" w:rsidRPr="00F04518" w:rsidRDefault="00391C17" w:rsidP="00947103">
      <w:pPr>
        <w:rPr>
          <w:b/>
        </w:rPr>
      </w:pPr>
      <w:r w:rsidRPr="00F04518">
        <w:rPr>
          <w:b/>
        </w:rPr>
        <w:t>Tidegeschehen</w:t>
      </w:r>
    </w:p>
    <w:p w:rsidR="00391C17" w:rsidRDefault="00391C17" w:rsidP="00947103">
      <w:r>
        <w:t xml:space="preserve">Der Elbe wird im Hafenbereich, also in der Stadt Hamburg, </w:t>
      </w:r>
      <w:proofErr w:type="spellStart"/>
      <w:r>
        <w:t>Flutraum</w:t>
      </w:r>
      <w:proofErr w:type="spellEnd"/>
      <w:r>
        <w:t xml:space="preserve"> genommen. Somit steigt das mittlere Tidehochwasser weiter und das mittlere Tideniedrigwasser sinkt. In Verbindung mit den vorgenannten bereits ausgeführten bzw. noch auszuführenden Baumaßnahmen im Hafen steigt s</w:t>
      </w:r>
      <w:r>
        <w:t>o</w:t>
      </w:r>
      <w:r>
        <w:t>mit das Sturmflutrisiko. Andernfalls müssen die Sturmflutschutzanlagen weiter ausgebaut werden, was wiederum zu einer Beeinträchtigung natürlicher Flächen führen wird.</w:t>
      </w:r>
    </w:p>
    <w:p w:rsidR="00391C17" w:rsidRDefault="00391C17" w:rsidP="00947103"/>
    <w:p w:rsidR="00391C17" w:rsidRDefault="00391C17" w:rsidP="00947103">
      <w:r>
        <w:t xml:space="preserve">Im Fachbeitrag wird ausgeführt, dass das mittlere Tidehochwasser um weniger als 0,01m steigen und das mittlere Tideniedrigwasser um weniger als 0,01m sinken wird. Diese beiden Zahlen werden zu einem Gesamtwert von weniger als 0,01m Tidenhub addiert und somit als </w:t>
      </w:r>
      <w:proofErr w:type="spellStart"/>
      <w:r>
        <w:t>vernachlässigenswert</w:t>
      </w:r>
      <w:proofErr w:type="spellEnd"/>
      <w:r>
        <w:t xml:space="preserve"> b</w:t>
      </w:r>
      <w:r>
        <w:t>e</w:t>
      </w:r>
      <w:r>
        <w:t>zeichnet, da der Schwellenwert von 0,01m nicht überschritten wird. (Tabelle 6.1-2, S. 18).</w:t>
      </w:r>
      <w:r w:rsidR="00C8272F">
        <w:t xml:space="preserve"> </w:t>
      </w:r>
      <w:r>
        <w:t>Diese Add</w:t>
      </w:r>
      <w:r>
        <w:t>i</w:t>
      </w:r>
      <w:r>
        <w:t>tion erscheint mir mathematisch nicht nachvollziehbar. Zumal weniger als 0,01m ja auch 0,0099m sein könnten, multipliziert mal 2 für Hoch- und Niedrigwasser beinahe ein Tidenhub von 0,02m he</w:t>
      </w:r>
      <w:r>
        <w:t>r</w:t>
      </w:r>
      <w:r>
        <w:t>auskommen könn</w:t>
      </w:r>
      <w:r w:rsidR="002F7E06">
        <w:t>t</w:t>
      </w:r>
      <w:r>
        <w:t>e. Hinzu kommt die Tatsache, dass die Berechnungen auf Daten des BAW von 2008 beruhen und die Entwicklungen in der Elbe und im Hamburger Hafen der letzten 6 J</w:t>
      </w:r>
      <w:r w:rsidR="002F7E06">
        <w:t>ahre nicht berücksichtigt sind.</w:t>
      </w:r>
    </w:p>
    <w:p w:rsidR="00391C17" w:rsidRDefault="00391C17" w:rsidP="00947103"/>
    <w:p w:rsidR="00391C17" w:rsidRDefault="00391C17" w:rsidP="00947103">
      <w:r>
        <w:t>Hiermit äußere ich ausdrücklich meine Bedenken gegen die Aussagefähigkeit der Prognosen und fordere, dass die Prognosen zur Verhinderung einer Salamitaktik mit den zwischenzeitlich erfolgten und anstehenden Baumaßnahmen aktualisiert werden.</w:t>
      </w:r>
    </w:p>
    <w:p w:rsidR="00391C17" w:rsidRDefault="00391C17" w:rsidP="00947103"/>
    <w:p w:rsidR="002F7E06" w:rsidRDefault="002F7E06" w:rsidP="00947103"/>
    <w:p w:rsidR="00391C17" w:rsidRDefault="00391C17" w:rsidP="00947103">
      <w:r>
        <w:t xml:space="preserve">In dem Fachbeitrag wird prognostiziert, in welchem Bereich sich die Tideströmung wie verändern wird: Einfahrt Parkhafen = -0,09m/s, </w:t>
      </w:r>
      <w:proofErr w:type="spellStart"/>
      <w:r>
        <w:t>Bubendeyufer</w:t>
      </w:r>
      <w:proofErr w:type="spellEnd"/>
      <w:r>
        <w:t xml:space="preserve">/Parkhafen = -0,11m/s, oberhalb </w:t>
      </w:r>
      <w:proofErr w:type="spellStart"/>
      <w:r>
        <w:t>Bubendeyufer</w:t>
      </w:r>
      <w:proofErr w:type="spellEnd"/>
      <w:r>
        <w:t xml:space="preserve">/Parkhafen = +0,04m/s. Als ergänzende Information ist die Tabelle 6.3-1 eingefügt, die die in 2008 aktuelle Tideströmung an den </w:t>
      </w:r>
      <w:proofErr w:type="spellStart"/>
      <w:r>
        <w:t>Messstellen</w:t>
      </w:r>
      <w:proofErr w:type="spellEnd"/>
      <w:r>
        <w:t xml:space="preserve"> Elbe-km 625 und Elbe-km 630 dokumentiert. Der umzugestaltende Bereich liegt bei Elbe-km 628. Es ist nicht erkenntlich, welchem </w:t>
      </w:r>
      <w:proofErr w:type="spellStart"/>
      <w:r>
        <w:t>Messpunkt</w:t>
      </w:r>
      <w:proofErr w:type="spellEnd"/>
      <w:r>
        <w:t xml:space="preserve"> das Tideverhalten im Bereich Elbe-km 628 eher entspricht. Die Veränderung der Tideströmung wird j</w:t>
      </w:r>
      <w:r>
        <w:t>e</w:t>
      </w:r>
      <w:r>
        <w:t>doch als wenig relevant eingeschätzt.</w:t>
      </w:r>
    </w:p>
    <w:p w:rsidR="00391C17" w:rsidRDefault="00391C17" w:rsidP="00947103"/>
    <w:p w:rsidR="00391C17" w:rsidRDefault="00391C17" w:rsidP="00947103">
      <w:r>
        <w:t>Ich wende gegen diese Prognosen ein, dass die Daten veraltet sind (BAW 2008), da sich das Tideg</w:t>
      </w:r>
      <w:r>
        <w:t>e</w:t>
      </w:r>
      <w:r>
        <w:t>schehen in den letzten 7 Jahren auf der Elbe negativ verändert hat. Die prognostizierten Werte sind veraltet und ich fordere eine Aktualisierung.</w:t>
      </w:r>
    </w:p>
    <w:p w:rsidR="00391C17" w:rsidRDefault="00391C17" w:rsidP="00947103"/>
    <w:p w:rsidR="002F7E06" w:rsidRDefault="002F7E06" w:rsidP="00947103"/>
    <w:p w:rsidR="00391C17" w:rsidRDefault="00391C17" w:rsidP="00947103">
      <w:r>
        <w:t>Außerdem bezweifele ich die Aussagen zur Relevanz der Veränderungen. Setzt man die Veränderu</w:t>
      </w:r>
      <w:r>
        <w:t>n</w:t>
      </w:r>
      <w:r>
        <w:t xml:space="preserve">gen der Fließgeschwindigkeiten in Relation zu den Werten von 2008 an den Messstationen (km 630 bzw. km 625) ergeben sich </w:t>
      </w:r>
    </w:p>
    <w:p w:rsidR="00391C17" w:rsidRDefault="00391C17" w:rsidP="00947103">
      <w:pPr>
        <w:pStyle w:val="Listenabsatz"/>
        <w:numPr>
          <w:ilvl w:val="0"/>
          <w:numId w:val="5"/>
        </w:numPr>
      </w:pPr>
      <w:r>
        <w:t xml:space="preserve">eine Abnahme des Stroms in der Einfahrt Parkhafen zwischen ca. 12% und 21 %, und </w:t>
      </w:r>
    </w:p>
    <w:p w:rsidR="00391C17" w:rsidRDefault="00391C17" w:rsidP="00947103">
      <w:pPr>
        <w:pStyle w:val="Listenabsatz"/>
        <w:numPr>
          <w:ilvl w:val="0"/>
          <w:numId w:val="5"/>
        </w:numPr>
      </w:pPr>
      <w:r>
        <w:t xml:space="preserve">der Kaianlage </w:t>
      </w:r>
      <w:proofErr w:type="spellStart"/>
      <w:r>
        <w:t>Bubendeyufer</w:t>
      </w:r>
      <w:proofErr w:type="spellEnd"/>
      <w:r>
        <w:t xml:space="preserve">/Parkhafen zwischen ca. 15% und 26 % und </w:t>
      </w:r>
    </w:p>
    <w:p w:rsidR="00391C17" w:rsidRDefault="00391C17" w:rsidP="00947103">
      <w:pPr>
        <w:pStyle w:val="Listenabsatz"/>
        <w:numPr>
          <w:ilvl w:val="0"/>
          <w:numId w:val="5"/>
        </w:numPr>
      </w:pPr>
      <w:r>
        <w:t xml:space="preserve">eine Zunahme oberhalb </w:t>
      </w:r>
      <w:proofErr w:type="spellStart"/>
      <w:proofErr w:type="gramStart"/>
      <w:r>
        <w:t>Bubendeyufer</w:t>
      </w:r>
      <w:proofErr w:type="spellEnd"/>
      <w:r>
        <w:t>/Parkhafen</w:t>
      </w:r>
      <w:proofErr w:type="gramEnd"/>
      <w:r>
        <w:t xml:space="preserve"> zwischen 5% und 10 %. </w:t>
      </w:r>
    </w:p>
    <w:p w:rsidR="00391C17" w:rsidRDefault="00391C17" w:rsidP="00947103"/>
    <w:p w:rsidR="00391C17" w:rsidRDefault="00391C17" w:rsidP="00947103">
      <w:r>
        <w:t xml:space="preserve">Ich gehe davon aus, dass sich diese Veränderung sowohl auf die </w:t>
      </w:r>
      <w:proofErr w:type="spellStart"/>
      <w:r>
        <w:t>Gewässerflora</w:t>
      </w:r>
      <w:proofErr w:type="spellEnd"/>
      <w:r>
        <w:t xml:space="preserve"> und –</w:t>
      </w:r>
      <w:proofErr w:type="spellStart"/>
      <w:r>
        <w:t>fauna</w:t>
      </w:r>
      <w:proofErr w:type="spellEnd"/>
      <w:r>
        <w:t>, auf die chemischen Zustände und die Morphologie deutlich auswirken wird. Und zwar, dauerhaft und gro</w:t>
      </w:r>
      <w:r>
        <w:t>ß</w:t>
      </w:r>
      <w:r>
        <w:lastRenderedPageBreak/>
        <w:t>räumiger, denn damit werden sich ebenfalls Veränderungen für die Hafengebiete oberhalb des Pla</w:t>
      </w:r>
      <w:r>
        <w:t>n</w:t>
      </w:r>
      <w:r>
        <w:t xml:space="preserve">bereichs ergeben. Bereits heute wird nahezu täglich im Parkhafen und am </w:t>
      </w:r>
      <w:proofErr w:type="spellStart"/>
      <w:r>
        <w:t>Bubendeyufer</w:t>
      </w:r>
      <w:proofErr w:type="spellEnd"/>
      <w:r>
        <w:t xml:space="preserve"> gebaggert. Durch eine umfangreiche Abnahme der Strömungsgeschwindigkeiten in diesen Bereichen sind gr</w:t>
      </w:r>
      <w:r>
        <w:t>a</w:t>
      </w:r>
      <w:r>
        <w:t>vierende Sedimentationsprozesse samt Bagger-Folgekosten zu erwarten.</w:t>
      </w:r>
    </w:p>
    <w:p w:rsidR="00391C17" w:rsidRDefault="00391C17" w:rsidP="00947103"/>
    <w:p w:rsidR="00391C17" w:rsidRDefault="00391C17" w:rsidP="00947103">
      <w:r>
        <w:t>Ich fordere, dass diese Änderungsauswirkungen präzise beschrieben werden und die Folgekosten quantifiziert werden.</w:t>
      </w:r>
    </w:p>
    <w:p w:rsidR="00391C17" w:rsidRDefault="00391C17" w:rsidP="00947103"/>
    <w:p w:rsidR="00391C17" w:rsidRPr="0021491B" w:rsidRDefault="00391C17" w:rsidP="00947103">
      <w:pPr>
        <w:rPr>
          <w:b/>
        </w:rPr>
      </w:pPr>
      <w:r w:rsidRPr="0021491B">
        <w:rPr>
          <w:b/>
          <w:u w:val="single"/>
        </w:rPr>
        <w:t>Ökologischer Zustand</w:t>
      </w:r>
    </w:p>
    <w:p w:rsidR="00391C17" w:rsidRDefault="00391C17" w:rsidP="00947103">
      <w:r>
        <w:t xml:space="preserve">Ich erhebe Einwand gegen die Beschreibung und Bewertung der Folgen für die </w:t>
      </w:r>
      <w:proofErr w:type="spellStart"/>
      <w:r>
        <w:t>Gewässerflora</w:t>
      </w:r>
      <w:proofErr w:type="spellEnd"/>
      <w:r>
        <w:t xml:space="preserve"> und -fauna im Bereich der geplanten Maßna</w:t>
      </w:r>
      <w:r w:rsidR="002F7E06">
        <w:t>h</w:t>
      </w:r>
      <w:r>
        <w:t>me „Westerweiterung und Erweiterung des Drehkreises Par</w:t>
      </w:r>
      <w:r>
        <w:t>k</w:t>
      </w:r>
      <w:r>
        <w:t>hafen“.</w:t>
      </w:r>
    </w:p>
    <w:p w:rsidR="00391C17" w:rsidRDefault="00391C17" w:rsidP="00947103"/>
    <w:p w:rsidR="00391C17" w:rsidRDefault="00391C17" w:rsidP="00947103">
      <w:r>
        <w:t>Im Fachbeitrag wird festgestellt, dass der ökologische Zustand bzw. das ökologische Potenzial im Bereich „Elbe-Hafen“ insgesamt „mäßig“ ist.</w:t>
      </w:r>
    </w:p>
    <w:p w:rsidR="00391C17" w:rsidRDefault="00391C17" w:rsidP="00947103"/>
    <w:p w:rsidR="00391C17" w:rsidRDefault="00391C17" w:rsidP="00947103">
      <w:r>
        <w:t xml:space="preserve">a) </w:t>
      </w:r>
      <w:proofErr w:type="spellStart"/>
      <w:r>
        <w:t>Gewässerflora</w:t>
      </w:r>
      <w:proofErr w:type="spellEnd"/>
    </w:p>
    <w:p w:rsidR="00391C17" w:rsidRDefault="00391C17" w:rsidP="00947103">
      <w:r>
        <w:t xml:space="preserve">a)a) Makrophyten, </w:t>
      </w:r>
      <w:proofErr w:type="spellStart"/>
      <w:r>
        <w:t>Phytobenthos</w:t>
      </w:r>
      <w:proofErr w:type="spellEnd"/>
      <w:r>
        <w:t>, Angiospermen, Großalgen</w:t>
      </w:r>
    </w:p>
    <w:p w:rsidR="00391C17" w:rsidRDefault="00391C17" w:rsidP="00947103">
      <w:r>
        <w:t>Es gibt keine relevanten Vegetationsbestände. Die Bewertung lautet „schlechter Zustand“</w:t>
      </w:r>
    </w:p>
    <w:p w:rsidR="00391C17" w:rsidRDefault="00391C17" w:rsidP="00947103">
      <w:r>
        <w:t>a)b) Phytoplankton</w:t>
      </w:r>
    </w:p>
    <w:p w:rsidR="00391C17" w:rsidRDefault="00391C17" w:rsidP="00947103">
      <w:r>
        <w:t>Die Bewertung lautet „unbefriedigender Zustand“</w:t>
      </w:r>
    </w:p>
    <w:p w:rsidR="00391C17" w:rsidRDefault="00391C17" w:rsidP="00947103"/>
    <w:p w:rsidR="00391C17" w:rsidRDefault="00391C17" w:rsidP="00947103">
      <w:r>
        <w:t>Prognostiziert werden während der Bauarbeiten Vitalitätsbeeinträchtigungen oder Verlust der j</w:t>
      </w:r>
      <w:r>
        <w:t>e</w:t>
      </w:r>
      <w:r>
        <w:t>doch als wenig relevant eingestuft werden. Die dauerhafte Einschränkung durch den Verlust von Lebensraum (5,5 ha) und subaquatischen Besiedelungsflächen (3.500 m</w:t>
      </w:r>
      <w:r>
        <w:rPr>
          <w:vertAlign w:val="superscript"/>
        </w:rPr>
        <w:t>2</w:t>
      </w:r>
      <w:r>
        <w:t>) wird als mäßige Ve</w:t>
      </w:r>
      <w:r>
        <w:t>r</w:t>
      </w:r>
      <w:r>
        <w:t xml:space="preserve">schlechterung und die </w:t>
      </w:r>
      <w:proofErr w:type="spellStart"/>
      <w:r>
        <w:t>Unterhaltungsbaggerei</w:t>
      </w:r>
      <w:proofErr w:type="spellEnd"/>
      <w:r>
        <w:t xml:space="preserve"> wiederum als geringe Verschlechterung bewertet. Somit sprächen keine Auswirkungen auf die </w:t>
      </w:r>
      <w:proofErr w:type="spellStart"/>
      <w:r>
        <w:t>Gewässerflora</w:t>
      </w:r>
      <w:proofErr w:type="spellEnd"/>
      <w:r>
        <w:t xml:space="preserve"> gegen die Umsetzung der Maßnahme.</w:t>
      </w:r>
    </w:p>
    <w:p w:rsidR="00391C17" w:rsidRDefault="00391C17" w:rsidP="00947103"/>
    <w:p w:rsidR="00391C17" w:rsidRDefault="00391C17" w:rsidP="00947103">
      <w:r>
        <w:t xml:space="preserve">Ich wende hiermit ein, dass ein unbefriedigender bzw. schlechter ökologischer Zustand der </w:t>
      </w:r>
      <w:proofErr w:type="spellStart"/>
      <w:r>
        <w:t>Gewässerflora</w:t>
      </w:r>
      <w:proofErr w:type="spellEnd"/>
      <w:r>
        <w:t xml:space="preserve"> kein „Freibrief“ für weitere Verschlechterungen ist. Auch wird die dauerhafte Bela</w:t>
      </w:r>
      <w:r>
        <w:t>s</w:t>
      </w:r>
      <w:r>
        <w:t xml:space="preserve">tung durch die </w:t>
      </w:r>
      <w:proofErr w:type="spellStart"/>
      <w:r>
        <w:t>Unterhaltungsbaggerei</w:t>
      </w:r>
      <w:proofErr w:type="spellEnd"/>
      <w:r>
        <w:t xml:space="preserve"> unterschätzt, die erfahrungsgemäß im Hamburger Hafeng</w:t>
      </w:r>
      <w:r>
        <w:t>e</w:t>
      </w:r>
      <w:r>
        <w:t xml:space="preserve">biet beinahe ganzjährig erfolgt. Eine Neuansiedlung bzw. Regeneration der </w:t>
      </w:r>
      <w:proofErr w:type="spellStart"/>
      <w:r>
        <w:t>Gewässerflora</w:t>
      </w:r>
      <w:proofErr w:type="spellEnd"/>
      <w:r>
        <w:t xml:space="preserve"> wird hie</w:t>
      </w:r>
      <w:r>
        <w:t>r</w:t>
      </w:r>
      <w:r>
        <w:t>mit dauerhaft unterbunden. Ebenso sind m.E. die Auswirkungen der veränderten Tideströmung, die mit sehr gering benannt ist, nicht richtig eingeschätzt, siehe hierzu meinen Einwand zum Tidegesch</w:t>
      </w:r>
      <w:r>
        <w:t>e</w:t>
      </w:r>
      <w:r>
        <w:t>hen.</w:t>
      </w:r>
    </w:p>
    <w:p w:rsidR="00391C17" w:rsidRDefault="00391C17" w:rsidP="00947103"/>
    <w:p w:rsidR="00391C17" w:rsidRDefault="002F7E06" w:rsidP="00947103">
      <w:r>
        <w:t xml:space="preserve">Ich fordere, dass insbesondere die Auswirkungen dauerhafter </w:t>
      </w:r>
      <w:proofErr w:type="spellStart"/>
      <w:r>
        <w:t>Unterhaltungsbaggerei</w:t>
      </w:r>
      <w:proofErr w:type="spellEnd"/>
      <w:r>
        <w:t xml:space="preserve"> neu untersucht und bewertet werden. </w:t>
      </w:r>
      <w:r w:rsidR="00391C17">
        <w:t>Ich fordere</w:t>
      </w:r>
      <w:r>
        <w:t xml:space="preserve"> zudem</w:t>
      </w:r>
      <w:r w:rsidR="00391C17">
        <w:t>, dass der Gerichtsentscheid des EU-GH zur Weserverti</w:t>
      </w:r>
      <w:r w:rsidR="00391C17">
        <w:t>e</w:t>
      </w:r>
      <w:r w:rsidR="00391C17">
        <w:t xml:space="preserve">fung und die ausstehenden Entscheide des Bundesverwaltungsgerichtes zur Weservertiefung und Elbvertiefung abgewartet werden und die Antragsunterlagen zur </w:t>
      </w:r>
      <w:proofErr w:type="spellStart"/>
      <w:r w:rsidR="00391C17">
        <w:t>Gewässerflora</w:t>
      </w:r>
      <w:proofErr w:type="spellEnd"/>
      <w:r w:rsidR="00391C17">
        <w:t xml:space="preserve"> auf Basis der G</w:t>
      </w:r>
      <w:r w:rsidR="00391C17">
        <w:t>e</w:t>
      </w:r>
      <w:r w:rsidR="00391C17">
        <w:t>richtsen</w:t>
      </w:r>
      <w:r w:rsidR="00391C17">
        <w:t>t</w:t>
      </w:r>
      <w:r w:rsidR="00391C17">
        <w:t>scheide neu erstellt werden.</w:t>
      </w:r>
    </w:p>
    <w:p w:rsidR="00391C17" w:rsidRDefault="00391C17" w:rsidP="00947103"/>
    <w:p w:rsidR="002F7E06" w:rsidRDefault="002F7E06" w:rsidP="00947103"/>
    <w:p w:rsidR="00391C17" w:rsidRDefault="00391C17" w:rsidP="00947103">
      <w:r>
        <w:t>b) Gewässerfauna</w:t>
      </w:r>
    </w:p>
    <w:p w:rsidR="00391C17" w:rsidRDefault="00391C17" w:rsidP="00947103">
      <w:r>
        <w:t xml:space="preserve">b)a) </w:t>
      </w:r>
      <w:proofErr w:type="spellStart"/>
      <w:r>
        <w:t>Benthische</w:t>
      </w:r>
      <w:proofErr w:type="spellEnd"/>
      <w:r>
        <w:t xml:space="preserve"> wirbellose Fauna (Makrozoobenthos)</w:t>
      </w:r>
    </w:p>
    <w:p w:rsidR="00391C17" w:rsidRDefault="00391C17" w:rsidP="00947103">
      <w:r>
        <w:t>Die Bewertung lautet „unbefriedigender Zustand“.</w:t>
      </w:r>
    </w:p>
    <w:p w:rsidR="00391C17" w:rsidRDefault="00391C17" w:rsidP="00947103">
      <w:r>
        <w:t>b)b) Fischfauna</w:t>
      </w:r>
    </w:p>
    <w:p w:rsidR="00391C17" w:rsidRDefault="00391C17" w:rsidP="00947103">
      <w:r>
        <w:t>Die Bewertung lautet „mäßiger Zustand“</w:t>
      </w:r>
    </w:p>
    <w:p w:rsidR="00391C17" w:rsidRDefault="00391C17" w:rsidP="00947103"/>
    <w:p w:rsidR="00391C17" w:rsidRDefault="00391C17" w:rsidP="00947103">
      <w:r>
        <w:t xml:space="preserve">Negativ bewertet wird, dass durch die </w:t>
      </w:r>
      <w:proofErr w:type="spellStart"/>
      <w:r>
        <w:t>Zuschüttung</w:t>
      </w:r>
      <w:proofErr w:type="spellEnd"/>
      <w:r>
        <w:t xml:space="preserve"> des Petroleumhafens Makrozoobenthos gro</w:t>
      </w:r>
      <w:r>
        <w:t>ß</w:t>
      </w:r>
      <w:r>
        <w:t xml:space="preserve">räumig überdeckt werden und der Lebensraum nach der Maßnahme um 5,5 ha reduziert ist. Hinzu kommen Beeinträchtigungen während der Bauphase, z.B. Änderung des Schwebstoffgehalts und Sedimentaufwirbelung, Fallenwirkung, Sauerstoffzehrungsprozesse. Schwebstoffgehaltsänderungen, </w:t>
      </w:r>
      <w:r>
        <w:lastRenderedPageBreak/>
        <w:t>Sedimentaufwirbelungen und Sauerstoffzehrungsprozesse werden auch als langfristige Auswirku</w:t>
      </w:r>
      <w:r>
        <w:t>n</w:t>
      </w:r>
      <w:r>
        <w:t xml:space="preserve">gen durch </w:t>
      </w:r>
      <w:proofErr w:type="spellStart"/>
      <w:r>
        <w:t>Unterhaltungsbaggerei</w:t>
      </w:r>
      <w:proofErr w:type="spellEnd"/>
      <w:r>
        <w:t xml:space="preserve"> als Beeinträchtigungen genannt. Die letztgenannten Verschlecht</w:t>
      </w:r>
      <w:r>
        <w:t>e</w:t>
      </w:r>
      <w:r>
        <w:t>rungen werden jedoch als gering bewertet, so dass der Umsetzung der Maßnahme nichts entgege</w:t>
      </w:r>
      <w:r>
        <w:t>n</w:t>
      </w:r>
      <w:r>
        <w:t>stünde.</w:t>
      </w:r>
    </w:p>
    <w:p w:rsidR="00391C17" w:rsidRDefault="00391C17" w:rsidP="00947103"/>
    <w:p w:rsidR="00391C17" w:rsidRDefault="00391C17" w:rsidP="00947103">
      <w:r>
        <w:t>Ich lege meine Bedenken zur Interpretation und Bewertung der negativen Auswirkungen auf Makr</w:t>
      </w:r>
      <w:r>
        <w:t>o</w:t>
      </w:r>
      <w:r>
        <w:t xml:space="preserve">zoobenthos ein, da ich auch hier den Eindruck gewinne, dass der vorhandene schlechte Zustand die Sensibilität für die Auswirkungen auf die gesamte Flora und Fauna missen lässt. Auch hier wird m.E. erneut die nach der Maßnahme dauerhaft erfolgende </w:t>
      </w:r>
      <w:proofErr w:type="spellStart"/>
      <w:r>
        <w:t>Unterhaltungsbaggerei</w:t>
      </w:r>
      <w:proofErr w:type="spellEnd"/>
      <w:r>
        <w:t xml:space="preserve"> unterschätzt.</w:t>
      </w:r>
    </w:p>
    <w:p w:rsidR="00391C17" w:rsidRDefault="00391C17" w:rsidP="00947103"/>
    <w:p w:rsidR="00391C17" w:rsidRDefault="00391C17" w:rsidP="00947103">
      <w:r>
        <w:t xml:space="preserve">Auch für die Fischfauna wird die </w:t>
      </w:r>
      <w:proofErr w:type="spellStart"/>
      <w:r>
        <w:t>Zuschüttung</w:t>
      </w:r>
      <w:proofErr w:type="spellEnd"/>
      <w:r>
        <w:t xml:space="preserve"> des Petroleumhafens als dauerhafte mäßige Ve</w:t>
      </w:r>
      <w:r>
        <w:t>r</w:t>
      </w:r>
      <w:r>
        <w:t>schlechterung beschrieben. Die weiteren Beeinträchtigungen (Unterwasserschallimmissionen, Vibr</w:t>
      </w:r>
      <w:r>
        <w:t>a</w:t>
      </w:r>
      <w:r>
        <w:t>tionen, die zu Schädigungen von Fischindividuen, Laich und Brut, Scheuch- und Vergrämungswirku</w:t>
      </w:r>
      <w:r>
        <w:t>n</w:t>
      </w:r>
      <w:r>
        <w:t xml:space="preserve">gen, Überdeckung von Laich und Einschränkung der Sauerstoffversorgung während der Bauphase sowie später bei der </w:t>
      </w:r>
      <w:proofErr w:type="spellStart"/>
      <w:r>
        <w:t>Unterhaltungsbaggerei</w:t>
      </w:r>
      <w:proofErr w:type="spellEnd"/>
      <w:r>
        <w:t xml:space="preserve"> weiterhin Scheuch- und Vergrämungswirkungen) we</w:t>
      </w:r>
      <w:r>
        <w:t>r</w:t>
      </w:r>
      <w:r>
        <w:t>den als gering bewertet.</w:t>
      </w:r>
    </w:p>
    <w:p w:rsidR="00391C17" w:rsidRDefault="00391C17" w:rsidP="00947103"/>
    <w:p w:rsidR="00391C17" w:rsidRDefault="00391C17" w:rsidP="00947103">
      <w:r>
        <w:t xml:space="preserve">Ich äußere meine Bedenken gegen die Bewertung der Verschlechterungen, insbesondere befürchte ich eine dauerhafte </w:t>
      </w:r>
      <w:proofErr w:type="spellStart"/>
      <w:r>
        <w:t>Vergrämung</w:t>
      </w:r>
      <w:proofErr w:type="spellEnd"/>
      <w:r>
        <w:t xml:space="preserve"> der Fischbestände sowie eine zu gering bewertete Auswirkung von Sauerstofflöchern während der Bauphase. Ebenso wird die </w:t>
      </w:r>
      <w:proofErr w:type="spellStart"/>
      <w:r>
        <w:t>Unterhaltungsbaggerei</w:t>
      </w:r>
      <w:proofErr w:type="spellEnd"/>
      <w:r>
        <w:t xml:space="preserve"> durch ihre anz</w:t>
      </w:r>
      <w:r>
        <w:t>u</w:t>
      </w:r>
      <w:r>
        <w:t xml:space="preserve">nehmende Häufigkeit eine Regeneration der Fischbestände unterbinden, zumal im Hafenbereich auch während der Laich- und Brutzeit gebaggert werden darf, sofern die Fahrwassertiefen nicht mehr ausreichen. Die bereits jetzt bestehenden Probleme des Sauerstoffgehalts, die regelmäßig zu massenweisem Fischsterben führen, werden durch die Vertiefungen, die zunehmenden </w:t>
      </w:r>
      <w:proofErr w:type="spellStart"/>
      <w:r>
        <w:t>Aufwirbellungen</w:t>
      </w:r>
      <w:proofErr w:type="spellEnd"/>
      <w:r>
        <w:t xml:space="preserve"> von Sedimenten durch Schiffspropeller und die </w:t>
      </w:r>
      <w:proofErr w:type="spellStart"/>
      <w:r>
        <w:t>Unterhaltungsbaggerei</w:t>
      </w:r>
      <w:proofErr w:type="spellEnd"/>
      <w:r>
        <w:t xml:space="preserve"> zunehmen.</w:t>
      </w:r>
    </w:p>
    <w:p w:rsidR="00391C17" w:rsidRDefault="00391C17" w:rsidP="00947103"/>
    <w:p w:rsidR="00391C17" w:rsidRDefault="00391C17" w:rsidP="00947103">
      <w:r>
        <w:t>Abschließend möchte ich darauf hinweisen, dass nach der Untersuchung der Einzelkriterien im B</w:t>
      </w:r>
      <w:r>
        <w:t>e</w:t>
      </w:r>
      <w:r>
        <w:t>reich der geplanten Maßnahme die Güteklasse „</w:t>
      </w:r>
      <w:proofErr w:type="spellStart"/>
      <w:r>
        <w:t>mässig</w:t>
      </w:r>
      <w:proofErr w:type="spellEnd"/>
      <w:r>
        <w:t>“ fehlerhaft zu sein scheint, da lediglich die Bewertung der Fischfauna diesen Maßstab erreicht, alle anderen Bereiche jedoch in einer schlecht</w:t>
      </w:r>
      <w:r>
        <w:t>e</w:t>
      </w:r>
      <w:r>
        <w:t>ren Zustandsklasse liegen. Somit betone ich meinen Einwand gegen die Maßnahme, die nicht zu e</w:t>
      </w:r>
      <w:r>
        <w:t>i</w:t>
      </w:r>
      <w:r>
        <w:t>nem noch schlechteren ökologischen Zustand führen darf.</w:t>
      </w:r>
    </w:p>
    <w:p w:rsidR="00391C17" w:rsidRDefault="00391C17" w:rsidP="00947103"/>
    <w:p w:rsidR="002F7E06" w:rsidRDefault="002F7E06" w:rsidP="00947103"/>
    <w:p w:rsidR="00391C17" w:rsidRDefault="002F7E06" w:rsidP="00947103">
      <w:r>
        <w:t xml:space="preserve">Ich fordere, dass insbesondere die dauerhafte </w:t>
      </w:r>
      <w:proofErr w:type="spellStart"/>
      <w:r>
        <w:t>Unterhaltungsbaggerei</w:t>
      </w:r>
      <w:proofErr w:type="spellEnd"/>
      <w:r>
        <w:t xml:space="preserve"> detailliert untersucht und b</w:t>
      </w:r>
      <w:r>
        <w:t>e</w:t>
      </w:r>
      <w:r>
        <w:t xml:space="preserve">wertet wird. </w:t>
      </w:r>
      <w:r w:rsidR="00391C17">
        <w:t>Ich fordere</w:t>
      </w:r>
      <w:r>
        <w:t xml:space="preserve"> zudem</w:t>
      </w:r>
      <w:r w:rsidR="00391C17">
        <w:t>, dass der Gerichtsentscheid des EU-GH zur Weservertiefung und die ausstehe</w:t>
      </w:r>
      <w:r w:rsidR="00391C17">
        <w:t>n</w:t>
      </w:r>
      <w:r w:rsidR="00391C17">
        <w:t>den Entscheide des Bundesverwaltungsgerichtes zur Weservertiefung und Elbvertiefung abgewartet we</w:t>
      </w:r>
      <w:r w:rsidR="00391C17">
        <w:t>r</w:t>
      </w:r>
      <w:r w:rsidR="00391C17">
        <w:t>den und die Antragsunterlagen zur Gewässerfauna auf Basis der Gerichtsentscheide neu erstellt we</w:t>
      </w:r>
      <w:r w:rsidR="00391C17">
        <w:t>r</w:t>
      </w:r>
      <w:r w:rsidR="00391C17">
        <w:t>den.</w:t>
      </w:r>
    </w:p>
    <w:p w:rsidR="00391C17" w:rsidRPr="003806C0" w:rsidRDefault="00391C17" w:rsidP="00947103"/>
    <w:p w:rsidR="00391C17" w:rsidRDefault="00391C17" w:rsidP="00947103">
      <w:r>
        <w:rPr>
          <w:u w:val="single"/>
        </w:rPr>
        <w:t>Chemischer Zustand</w:t>
      </w:r>
    </w:p>
    <w:p w:rsidR="00391C17" w:rsidRDefault="00391C17" w:rsidP="00947103">
      <w:r>
        <w:t>Der chemische Zustand des Gebiets „Elbe-Hafen“, in dem auch der Bereich der Baumaßnahme liegt, wird insgesamt als „gut“ bewertet.</w:t>
      </w:r>
    </w:p>
    <w:p w:rsidR="00391C17" w:rsidRDefault="00391C17" w:rsidP="00947103"/>
    <w:p w:rsidR="00391C17" w:rsidRDefault="00391C17" w:rsidP="00947103">
      <w:r>
        <w:t>Im Fachbericht (Kap. 7.1.1.2) wird richtigerweise darauf hinwiesen, dass das umzugestaltende Gebiet von den ursprünglich darauf vorhandenen Petroleumunternehmen geprägt ist. Entsprechend finden sich in den Sedimenten Belastungen mit MKW, BTEX, PAK, Zinn, Zink, Blei und Arsen (BWS, 2007 und 2009).</w:t>
      </w:r>
    </w:p>
    <w:p w:rsidR="00391C17" w:rsidRDefault="00391C17" w:rsidP="00947103"/>
    <w:p w:rsidR="00391C17" w:rsidRDefault="00391C17" w:rsidP="00947103">
      <w:r>
        <w:t xml:space="preserve">Bei der Vornutzung des Gebietes, in welchem die geplante Maßnahme umgesetzt werden soll, gehe ich davon aus, dass die Schadstoffbelastungen der Sedimente, aber auch des Bodens schwerwiegend sind. Auf mögliche Einträge durch den Bodenabbau bei der Umgestaltung des </w:t>
      </w:r>
      <w:proofErr w:type="spellStart"/>
      <w:r>
        <w:t>Bubendeyufers</w:t>
      </w:r>
      <w:proofErr w:type="spellEnd"/>
      <w:r>
        <w:t xml:space="preserve"> wird in dem Fachbericht gar nicht eingegangen. Eine Aussage, dass man alle technischen Möglichkeiten nu</w:t>
      </w:r>
      <w:r>
        <w:t>t</w:t>
      </w:r>
      <w:r>
        <w:t>zen will, um den Eintrag von Schadstoffen in die Elbe zu reduzieren und dass man daher keine Auss</w:t>
      </w:r>
      <w:r>
        <w:t>a</w:t>
      </w:r>
      <w:r>
        <w:lastRenderedPageBreak/>
        <w:t>ge zu den zu erwartenden Mengen des Schadstoffeintrags machen kann, ist nicht ausreichend für eine Genehmigung des Planfeststellungsantrags.</w:t>
      </w:r>
    </w:p>
    <w:p w:rsidR="00391C17" w:rsidRDefault="00391C17" w:rsidP="00947103"/>
    <w:p w:rsidR="00391C17" w:rsidRDefault="00391C17" w:rsidP="00947103">
      <w:r>
        <w:t>Hinzu kommt, dass es keinerlei Untersuchungen und Prognosen in Bezug auf die kurz- und langfrist</w:t>
      </w:r>
      <w:r>
        <w:t>i</w:t>
      </w:r>
      <w:r>
        <w:t xml:space="preserve">gen Auswirkungen der Schadstoffeinträge auf die </w:t>
      </w:r>
      <w:proofErr w:type="spellStart"/>
      <w:r>
        <w:t>Gewässerflora</w:t>
      </w:r>
      <w:proofErr w:type="spellEnd"/>
      <w:r>
        <w:t xml:space="preserve"> und –</w:t>
      </w:r>
      <w:proofErr w:type="spellStart"/>
      <w:r>
        <w:t>fauna</w:t>
      </w:r>
      <w:proofErr w:type="spellEnd"/>
      <w:r w:rsidR="002F7E06">
        <w:t xml:space="preserve"> auch über die Grenzen des Hamburger Hafens hinaus</w:t>
      </w:r>
      <w:r>
        <w:t xml:space="preserve"> gibt. Genetische Veränderungen durch chemische Schadstoffe wu</w:t>
      </w:r>
      <w:r>
        <w:t>r</w:t>
      </w:r>
      <w:r>
        <w:t xml:space="preserve">den immer wieder bei Fischen beobachtet. Da die </w:t>
      </w:r>
      <w:proofErr w:type="spellStart"/>
      <w:r>
        <w:t>Gewässerflora</w:t>
      </w:r>
      <w:proofErr w:type="spellEnd"/>
      <w:r>
        <w:t xml:space="preserve"> und –</w:t>
      </w:r>
      <w:proofErr w:type="spellStart"/>
      <w:r>
        <w:t>fauna</w:t>
      </w:r>
      <w:proofErr w:type="spellEnd"/>
      <w:r>
        <w:t xml:space="preserve"> ein geschlossenes und von einander abhängiges System ist, stellt sich die Frage, welche weiteren Auswirkungen die Veränd</w:t>
      </w:r>
      <w:r>
        <w:t>e</w:t>
      </w:r>
      <w:r>
        <w:t>rungen nur eines Teils dieses Systems insg</w:t>
      </w:r>
      <w:r>
        <w:t>e</w:t>
      </w:r>
      <w:r>
        <w:t xml:space="preserve">samt nach sich </w:t>
      </w:r>
      <w:proofErr w:type="gramStart"/>
      <w:r>
        <w:t>zieht</w:t>
      </w:r>
      <w:proofErr w:type="gramEnd"/>
      <w:r>
        <w:t>.</w:t>
      </w:r>
    </w:p>
    <w:p w:rsidR="00391C17" w:rsidRDefault="00391C17" w:rsidP="00947103"/>
    <w:p w:rsidR="00391C17" w:rsidRDefault="00391C17" w:rsidP="00947103">
      <w:r>
        <w:t>Ich lege hiermit Bedenken gegen die Untersuchung und Bewertung der Schadstoffeinträge auf den chemischen Zustand des Gewässers ein und spreche mich gegen die Umsetzung der Planmaßnahme aus.</w:t>
      </w:r>
    </w:p>
    <w:p w:rsidR="00391C17" w:rsidRDefault="00391C17" w:rsidP="00947103"/>
    <w:p w:rsidR="00391C17" w:rsidRDefault="00391C17" w:rsidP="00947103">
      <w:r>
        <w:t>Zum Eintrag von Nährstoffen  (Kap. 6.6.3) gibt es lediglich die Aussage, dass in 2006 am Seemann</w:t>
      </w:r>
      <w:r>
        <w:t>s</w:t>
      </w:r>
      <w:r>
        <w:t>höft Ammonium, Nitrat, o-Phosphat und Gesamt-P der Güteklassen II – III gemessen wurden. Diese Daten sind jetzt 8 Jahre alt und somit nicht mehr aussagekräftig. Ich beanstande, dass es im Rahmen des Planfeststellungsverfahrens hierzu keine aktuellen Untersuchungen gegeben hat. Daher kann es auf dieser Basis keine Genehmigung der Planmaßnahme geben.</w:t>
      </w:r>
    </w:p>
    <w:p w:rsidR="00391C17" w:rsidRDefault="00391C17" w:rsidP="00947103"/>
    <w:p w:rsidR="00391C17" w:rsidRDefault="00391C17" w:rsidP="00947103">
      <w:r>
        <w:t>Ebenso beanstande ich, dass die Aspekte Wassertemperatur und Sichttiefe (Kap. 6.6.3) keiner Unte</w:t>
      </w:r>
      <w:r>
        <w:t>r</w:t>
      </w:r>
      <w:r>
        <w:t>suchung unterzogen wurden. Die klimatischen Verhältnisse ändern sich nachweislich weltweit (Kl</w:t>
      </w:r>
      <w:r>
        <w:t>i</w:t>
      </w:r>
      <w:r>
        <w:t>mawandel). In 2014/2015 haben wir einen der wärmsten Winter seit Aufzeichnung der Temperat</w:t>
      </w:r>
      <w:r>
        <w:t>u</w:t>
      </w:r>
      <w:r>
        <w:t>ren und wir haben einen ebenso warmen Sommer und Herbst 2014 erlebt. Sowohl die Wasserte</w:t>
      </w:r>
      <w:r>
        <w:t>m</w:t>
      </w:r>
      <w:r>
        <w:t>peratur als auch die Sichttiefe der Elbe sind Faktoren für die sogenannten Sauerstofflöcher, die zum Fischsterben führen. Dem Planfeststellungsantrag kann nicht statt gegeben werden, wenn diese tie</w:t>
      </w:r>
      <w:r>
        <w:t>f</w:t>
      </w:r>
      <w:r>
        <w:t>greifenden und nicht durch Hamburg, Terminalbetreiber oder Reeder kurzfristig beeinflussbaren Faktoren in den Prognosen nicht berücksichtigt wurden.</w:t>
      </w:r>
    </w:p>
    <w:p w:rsidR="00391C17" w:rsidRDefault="00391C17" w:rsidP="00947103"/>
    <w:p w:rsidR="00391C17" w:rsidRDefault="00391C17" w:rsidP="00947103">
      <w:r>
        <w:t>Ich fordere, dass der Gerichtsentscheid des EU-GH zur Weservertiefung und die ausstehenden En</w:t>
      </w:r>
      <w:r>
        <w:t>t</w:t>
      </w:r>
      <w:r>
        <w:t>scheide des Bundesverwaltungsgerichtes zur Weservertiefung und Elbvertiefung abgewartet werden und die Antragsunterlagen zum chemischen Zustand auf Basis der Gerichtsentscheide neu erstellt werden.</w:t>
      </w:r>
      <w:r w:rsidR="002F7E06">
        <w:t xml:space="preserve"> Insbesondere sind die vorgenannte, nicht erfolgten, Untersuchungen zum Eintrag giftiger Schadstoffe, Nährstoffe und den Aspekten Wassertemperatur und Sichttiefe umfassend nachzuh</w:t>
      </w:r>
      <w:r w:rsidR="002F7E06">
        <w:t>o</w:t>
      </w:r>
      <w:r w:rsidR="002F7E06">
        <w:t>len.</w:t>
      </w:r>
    </w:p>
    <w:p w:rsidR="00391C17" w:rsidRDefault="00391C17" w:rsidP="00947103"/>
    <w:p w:rsidR="00391C17" w:rsidRDefault="00391C17" w:rsidP="00947103"/>
    <w:p w:rsidR="00391C17" w:rsidRDefault="00391C17" w:rsidP="00947103">
      <w:r>
        <w:rPr>
          <w:u w:val="single"/>
        </w:rPr>
        <w:t>Hydromorphologischer Zustand</w:t>
      </w:r>
    </w:p>
    <w:p w:rsidR="00391C17" w:rsidRDefault="00391C17" w:rsidP="00947103">
      <w:r>
        <w:t xml:space="preserve">Mit der Maßnahme erfolgt eine umfassende Umgestaltung der Elbfahrrinne und des Parkhafens: Ausweitung der Fahrrinne bis ans </w:t>
      </w:r>
      <w:proofErr w:type="spellStart"/>
      <w:r>
        <w:t>Bubendeyufer</w:t>
      </w:r>
      <w:proofErr w:type="spellEnd"/>
      <w:r>
        <w:t xml:space="preserve"> (jetzt ca. 75m Abstand), Vertiefung der Solltiefe Fahrrinne von NN -16,7m auf NN -17.7m bzw. NN -18,8m im Bereich der neuen Kaimauer und im Parkhafen, Herstellung einer Sedimentrinne mit einer Tiefe von NN -20,8m, Ausweitung des Dre</w:t>
      </w:r>
      <w:r>
        <w:t>h</w:t>
      </w:r>
      <w:r>
        <w:t>kreises von 480m auf 600m mit einer Solltiefe von NN -17,3m, insgesamt sollen ca. 3 Mio. m</w:t>
      </w:r>
      <w:r>
        <w:rPr>
          <w:vertAlign w:val="superscript"/>
        </w:rPr>
        <w:t>3</w:t>
      </w:r>
      <w:r>
        <w:t xml:space="preserve"> Boden ausgehoben werden. Die Folgen dieser Maßnahmen werden mit „mäßig“ angegeben.</w:t>
      </w:r>
    </w:p>
    <w:p w:rsidR="00391C17" w:rsidRDefault="00391C17" w:rsidP="00947103"/>
    <w:p w:rsidR="00391C17" w:rsidRDefault="00391C17" w:rsidP="00947103">
      <w:r>
        <w:t xml:space="preserve">Vollständig unbeachtet bleiben in der Untersuchung die langfristigen Folgen der Maßnahmen. Es gibt keinerlei Aussagen, wie sich die Sedimentation entwickeln wird, insbesondere unter dem Aspekt des bekannten </w:t>
      </w:r>
      <w:proofErr w:type="spellStart"/>
      <w:r>
        <w:t>Tidal</w:t>
      </w:r>
      <w:proofErr w:type="spellEnd"/>
      <w:r>
        <w:t xml:space="preserve"> </w:t>
      </w:r>
      <w:proofErr w:type="spellStart"/>
      <w:r>
        <w:t>pumping</w:t>
      </w:r>
      <w:proofErr w:type="spellEnd"/>
      <w:r>
        <w:t>, welches bereits jetzt einen großen Anteil an den Baggermaßnahmen im Hamburger Hafengebiet ausmacht. Es fehlt eine Einschätzung dazu, welche Auswirkungen die Ma</w:t>
      </w:r>
      <w:r>
        <w:t>ß</w:t>
      </w:r>
      <w:r>
        <w:t>nahmen auf die Wassertiefenhaltung der oberhalb des Parkhafen</w:t>
      </w:r>
      <w:r w:rsidR="00951D8F">
        <w:t>s</w:t>
      </w:r>
      <w:r>
        <w:t xml:space="preserve"> gelegenen Hafenbecken haben </w:t>
      </w:r>
      <w:proofErr w:type="gramStart"/>
      <w:r>
        <w:t>wird</w:t>
      </w:r>
      <w:proofErr w:type="gramEnd"/>
      <w:r>
        <w:t xml:space="preserve">. Und damit fehlt eine Aussage zu den zu erwartenden dauerhaften Kosten der </w:t>
      </w:r>
      <w:proofErr w:type="spellStart"/>
      <w:r>
        <w:t>Unterhaltungsbaggerei</w:t>
      </w:r>
      <w:proofErr w:type="spellEnd"/>
      <w:r>
        <w:t>, die als Folge der Maßnahme „Westerweiterung und Parkhafen“ entstehen werden. Aus diesen Gründen kann dem Planfeststellungsantrag nicht statt geben werden.</w:t>
      </w:r>
    </w:p>
    <w:p w:rsidR="00391C17" w:rsidRDefault="00391C17" w:rsidP="00947103"/>
    <w:p w:rsidR="00391C17" w:rsidRDefault="00391C17" w:rsidP="00947103">
      <w:r>
        <w:t>Ich fordere, dass der Gerichtsentscheid des EU-GH zur Weservertiefung und die ausstehenden En</w:t>
      </w:r>
      <w:r>
        <w:t>t</w:t>
      </w:r>
      <w:r>
        <w:t>scheide des Bundesverwaltungsgerichtes zur Weservertiefung und Elbvertiefung abgewartet werden und die Antragsunterlagen zum hydromorphologischen Zustand auf Basis der Gerichtsentscheide neu erstellt werden. Ebenso sind bei den neuen Antragsunterlagen die Folgekosten einzuschätzen.</w:t>
      </w:r>
    </w:p>
    <w:p w:rsidR="00391C17" w:rsidRDefault="00391C17" w:rsidP="00947103"/>
    <w:p w:rsidR="00391C17" w:rsidRDefault="00391C17" w:rsidP="00951D8F">
      <w:pPr>
        <w:keepNext/>
      </w:pPr>
      <w:r>
        <w:rPr>
          <w:u w:val="single"/>
        </w:rPr>
        <w:t>Zielerreichung „gutes ökologisches und chemisches Potenzial“</w:t>
      </w:r>
    </w:p>
    <w:p w:rsidR="00391C17" w:rsidRDefault="00391C17" w:rsidP="00951D8F">
      <w:pPr>
        <w:keepNext/>
      </w:pPr>
      <w:r>
        <w:t xml:space="preserve">Im Fachbeitrag wird ausgesagt, dass die Erreichung des „guten ökologischen Potenzials“ durch die Umsetzung der Maßnahme „Westerweiterung und Ausweitung Drehkreis Parkhafen“ weder </w:t>
      </w:r>
      <w:proofErr w:type="spellStart"/>
      <w:r>
        <w:t>be</w:t>
      </w:r>
      <w:proofErr w:type="spellEnd"/>
      <w:r>
        <w:t>- noch verhindert wird (Kap. 9.3.1).</w:t>
      </w:r>
    </w:p>
    <w:p w:rsidR="00391C17" w:rsidRPr="006B19EB" w:rsidRDefault="00391C17" w:rsidP="00947103"/>
    <w:p w:rsidR="00391C17" w:rsidRDefault="00391C17" w:rsidP="00947103">
      <w:r>
        <w:t>Ich wende ein, dass dieser Bewertung im Fachbeitrag selbst widersprochen wird, da davon ausg</w:t>
      </w:r>
      <w:r>
        <w:t>e</w:t>
      </w:r>
      <w:r>
        <w:t xml:space="preserve">gangen wird, dass sich der Aufwand zur Zielerreichung des „guten ökologischen Potenzials“ erhöhen wird. Also gibt es zumindest eine Behinderung zur Zielerreichung, die laut § 27 Abs.2 WHG unzulässig ist (Vermeidung von Verschlechterung des ökologischen und chemischen Zustands/Potenzials </w:t>
      </w:r>
      <w:r>
        <w:rPr>
          <w:b/>
        </w:rPr>
        <w:t>und</w:t>
      </w:r>
      <w:r>
        <w:t xml:space="preserve"> erhalten oder </w:t>
      </w:r>
      <w:proofErr w:type="spellStart"/>
      <w:r>
        <w:t>erreichen</w:t>
      </w:r>
      <w:proofErr w:type="spellEnd"/>
      <w:r>
        <w:t xml:space="preserve"> des guten ökologischen und chemischen Zustands/Potenzials).</w:t>
      </w:r>
    </w:p>
    <w:p w:rsidR="00391C17" w:rsidRPr="00C60296" w:rsidRDefault="00391C17" w:rsidP="00947103"/>
    <w:p w:rsidR="00391C17" w:rsidRDefault="00391C17" w:rsidP="00947103">
      <w:r>
        <w:t>Ebenso lege ich meinen Einwand gegen die Bewertung ein, dass keine Maßnahmen zur Verbesserung des ökologischen und chemischen Zustands/Potenzials erfolgen müssen, da die Elbe im Bereich der vorgesehenen Maßnahme eine Einstufung „künstliches und erheblich verändertes Gewässer“ mit Schifffahrt und Hafenanlagen (§ 28 Nr. 1 b WHG) erhalten hat. Vor allem kann daraus nicht das Recht abgeleitet werden, das Potenzial zu verschlechtern. Zumal die geplante Maßnahme, wie oben bereits ausgeführt, weder für den Hamburger Hafen insgesamt noch für EUROGATE notwendig ist.</w:t>
      </w:r>
    </w:p>
    <w:p w:rsidR="00391C17" w:rsidRDefault="00391C17" w:rsidP="00947103"/>
    <w:p w:rsidR="00391C17" w:rsidRDefault="00391C17" w:rsidP="00947103">
      <w:r>
        <w:t>Ich fordere, dass der Gerichtsentscheid des EU-GH zur Weservertiefung und die ausstehenden En</w:t>
      </w:r>
      <w:r>
        <w:t>t</w:t>
      </w:r>
      <w:r>
        <w:t xml:space="preserve">scheide des Bundesverwaltungsgerichtes zur Weservertiefung und Elbvertiefung abgewartet werden und die Antragsunterlagen zur </w:t>
      </w:r>
      <w:r w:rsidRPr="007A71CE">
        <w:t>Zielerreichung „gutes ökologisches und chemisches Potenzial“</w:t>
      </w:r>
      <w:r>
        <w:t xml:space="preserve"> auf Basis der Gerichtsentscheide neu erstellt werden.</w:t>
      </w:r>
    </w:p>
    <w:p w:rsidR="00391C17" w:rsidRDefault="00391C17" w:rsidP="00947103"/>
    <w:p w:rsidR="00391C17" w:rsidRDefault="00391C17" w:rsidP="00947103"/>
    <w:p w:rsidR="00391C17" w:rsidRPr="00336F33" w:rsidRDefault="00391C17" w:rsidP="00947103">
      <w:pPr>
        <w:rPr>
          <w:b/>
        </w:rPr>
      </w:pPr>
      <w:r>
        <w:rPr>
          <w:b/>
        </w:rPr>
        <w:t xml:space="preserve">Einwendung zur Begründung der </w:t>
      </w:r>
      <w:r w:rsidRPr="00336F33">
        <w:rPr>
          <w:b/>
        </w:rPr>
        <w:t>Ausnahme n</w:t>
      </w:r>
      <w:r>
        <w:rPr>
          <w:b/>
        </w:rPr>
        <w:t>ach § 31 Ab</w:t>
      </w:r>
      <w:r w:rsidRPr="00336F33">
        <w:rPr>
          <w:b/>
        </w:rPr>
        <w:t>s. 2 WHG</w:t>
      </w:r>
    </w:p>
    <w:p w:rsidR="00391C17" w:rsidRDefault="00391C17" w:rsidP="00947103">
      <w:r>
        <w:t>Ich widerspreche der Einschätzung der Antragsteller, dass sich das Verschlechterungsverbots ledi</w:t>
      </w:r>
      <w:r>
        <w:t>g</w:t>
      </w:r>
      <w:r>
        <w:t>lich auf die Zustandsklassen beschränkt. Des weiteren wende ich ein, wie im vorherigen Teil begrü</w:t>
      </w:r>
      <w:r>
        <w:t>n</w:t>
      </w:r>
      <w:r>
        <w:t>det, dass die Frage, ob keine zustandsklassenüberschreitende Verschlechterung durch die Maßna</w:t>
      </w:r>
      <w:r>
        <w:t>h</w:t>
      </w:r>
      <w:r>
        <w:t>men erfolgt, aus meiner Sicht nicht plausibel dargelegt ist, da viele Teilbereiche nicht betrachtet und bewertet wurden.</w:t>
      </w:r>
    </w:p>
    <w:p w:rsidR="00391C17" w:rsidRDefault="00391C17" w:rsidP="00947103"/>
    <w:p w:rsidR="00391C17" w:rsidRDefault="00391C17" w:rsidP="00947103">
      <w:r>
        <w:t>Ebenso wende ich ein, dass die Interpretation der Ausnahmebegründung gemäß § 31 Abs. 2 Nr. 2 in Bezug auf das „übergeordnete öffentliche Interesse“ einseitig auf privatwirtschaftliche Belange au</w:t>
      </w:r>
      <w:r>
        <w:t>s</w:t>
      </w:r>
      <w:r>
        <w:t>gerichtet ist.</w:t>
      </w:r>
    </w:p>
    <w:p w:rsidR="00391C17" w:rsidRDefault="00391C17" w:rsidP="00947103"/>
    <w:p w:rsidR="00391C17" w:rsidRDefault="00391C17" w:rsidP="00947103">
      <w:r>
        <w:t>Ich fordere, dass der Gerichtsentscheid des EU-GH zur Weservertiefung und die ausstehenden En</w:t>
      </w:r>
      <w:r>
        <w:t>t</w:t>
      </w:r>
      <w:r>
        <w:t>scheide des Bundesverwaltungsgerichtes zur Weservertiefung und Elbvertiefung abgewartet werden und die Antragsunterlagen für eine Ausnahmebegründung nach §31 Abs. 2 WHG auf Basis der G</w:t>
      </w:r>
      <w:r>
        <w:t>e</w:t>
      </w:r>
      <w:r>
        <w:t>richtsentscheide neu erstellt werden.</w:t>
      </w:r>
    </w:p>
    <w:p w:rsidR="00391C17" w:rsidRDefault="00391C17" w:rsidP="00947103"/>
    <w:p w:rsidR="00391C17" w:rsidRDefault="00391C17" w:rsidP="00947103">
      <w:pPr>
        <w:rPr>
          <w:i/>
        </w:rPr>
      </w:pPr>
      <w:r>
        <w:t>Außer Acht gelassen werden vollständig die gesundheitsschädlichen Folgen, sowohl durch den b</w:t>
      </w:r>
      <w:r>
        <w:t>e</w:t>
      </w:r>
      <w:r>
        <w:t>stehenden Hafenbetriebs als auch durch die Zunahme der Belastungen nach der Umsetzung der Maßnahme. Krankheiten verursachen volkswirtschaftlich erhebliche Kosten (siehe hierzu Unters</w:t>
      </w:r>
      <w:r>
        <w:t>u</w:t>
      </w:r>
      <w:r>
        <w:t>chungen der Krankenkassen), welche in keinem Fall gegen die vermeintlichen privatwirtschaftlichen und staatlichen Einnahmen gegen gerechnet werden. Somit sind der wirtschaftliche und vor allem der staatliche Nutzen nicht nachgewiesen. Ebenso verstößt die Missachtung der gesundheitsschädl</w:t>
      </w:r>
      <w:r>
        <w:t>i</w:t>
      </w:r>
      <w:r>
        <w:lastRenderedPageBreak/>
        <w:t xml:space="preserve">chen Folgen Artikel 2 Abs. 2, Satz 1 GG </w:t>
      </w:r>
      <w:r w:rsidRPr="00781665">
        <w:rPr>
          <w:i/>
        </w:rPr>
        <w:t>„Jeder hat das Recht auf Leben und körperliche Unversehr</w:t>
      </w:r>
      <w:r w:rsidRPr="00781665">
        <w:rPr>
          <w:i/>
        </w:rPr>
        <w:t>t</w:t>
      </w:r>
      <w:r w:rsidRPr="00781665">
        <w:rPr>
          <w:i/>
        </w:rPr>
        <w:t>heit.“</w:t>
      </w:r>
    </w:p>
    <w:p w:rsidR="00391C17" w:rsidRDefault="00391C17" w:rsidP="00947103"/>
    <w:p w:rsidR="00951D8F" w:rsidRDefault="00391C17" w:rsidP="00947103">
      <w:r>
        <w:t xml:space="preserve">Ebenso fehlt der Nachweis, dass öffentliche Ausgaben (Steuergeld) zur Herstellung der zusätzlichen privatwirtschaftlich genutzten Terminalfläche sowie des Drehkreises Parkhafen </w:t>
      </w:r>
      <w:r w:rsidR="00951D8F">
        <w:t xml:space="preserve">durch </w:t>
      </w:r>
      <w:r>
        <w:t xml:space="preserve">öffentliche Einnahmen in dem Maße </w:t>
      </w:r>
      <w:r w:rsidR="00951D8F">
        <w:t>ausgeglichen werden</w:t>
      </w:r>
      <w:r>
        <w:t>, dass nicht nur die Kosten gedeckt, sondern darüber hi</w:t>
      </w:r>
      <w:r>
        <w:t>n</w:t>
      </w:r>
      <w:r>
        <w:t>aus noch öffentliche Aufgaben außerhalb des Hafens finanziert werden können. Es liegt nicht in meinem Interesse, Steuergelder zur Subvention von Privatwirtschaft auszugeben und gleichzeitig be</w:t>
      </w:r>
      <w:r>
        <w:t>i</w:t>
      </w:r>
      <w:r>
        <w:t xml:space="preserve">spielsweise den Kinder- und Jugendschutz oder den öffentlichen Personennahverkehr zusammen zu sparen. </w:t>
      </w:r>
    </w:p>
    <w:p w:rsidR="00951D8F" w:rsidRDefault="00951D8F" w:rsidP="00947103"/>
    <w:p w:rsidR="00391C17" w:rsidRDefault="00391C17" w:rsidP="00947103">
      <w:r>
        <w:t xml:space="preserve">Daher fordere ich, dass dem Planfeststellungsantrag im Sinne </w:t>
      </w:r>
      <w:r w:rsidR="00951D8F">
        <w:t xml:space="preserve">dieses weiter gefassten </w:t>
      </w:r>
      <w:r>
        <w:t>„übergeordn</w:t>
      </w:r>
      <w:r>
        <w:t>e</w:t>
      </w:r>
      <w:r>
        <w:t>ten öffentlichen Int</w:t>
      </w:r>
      <w:r>
        <w:t>e</w:t>
      </w:r>
      <w:r>
        <w:t>resses“ nicht stattgeben werden darf.</w:t>
      </w:r>
    </w:p>
    <w:p w:rsidR="00391C17" w:rsidRDefault="00391C17" w:rsidP="00947103"/>
    <w:p w:rsidR="00391C17" w:rsidRDefault="00391C17" w:rsidP="00947103"/>
    <w:p w:rsidR="00391C17" w:rsidRPr="00A50553" w:rsidRDefault="00391C17" w:rsidP="00947103">
      <w:pPr>
        <w:rPr>
          <w:b/>
        </w:rPr>
      </w:pPr>
      <w:r>
        <w:rPr>
          <w:b/>
        </w:rPr>
        <w:t>Ergänzende Einwendungen</w:t>
      </w:r>
    </w:p>
    <w:p w:rsidR="00391C17" w:rsidRDefault="00391C17" w:rsidP="00947103"/>
    <w:p w:rsidR="00391C17" w:rsidRDefault="00391C17" w:rsidP="00947103">
      <w:r>
        <w:t>Hiermit ergänze ich meine Einwendungen um zwei weitere Aspekte, die weder in den ursprünglichen noch in den nachgereichten Planfeststellungsanträgen befriedigend behandelt wurden.</w:t>
      </w:r>
    </w:p>
    <w:p w:rsidR="00391C17" w:rsidRDefault="00391C17" w:rsidP="00947103"/>
    <w:p w:rsidR="00391C17" w:rsidRDefault="00391C17" w:rsidP="00947103">
      <w:r>
        <w:rPr>
          <w:u w:val="single"/>
        </w:rPr>
        <w:t>Auswirkungen auf das nördliche Elbufer</w:t>
      </w:r>
    </w:p>
    <w:p w:rsidR="00391C17" w:rsidRDefault="00391C17" w:rsidP="00947103">
      <w:r>
        <w:t>Es fehlen umfassende Untersuchungen und Aussagen zu den Auswirkungen der Verbreiterung und Vertiefung der Fahrrinne bzw. des Drehkreises auf die Stabilität des Elbhanges. der generell als b</w:t>
      </w:r>
      <w:r>
        <w:t>e</w:t>
      </w:r>
      <w:r>
        <w:t>sonders labil gilt. Dabei geht es einerseits um Belastungen während der Bauphase (Vibrationen, Ba</w:t>
      </w:r>
      <w:r>
        <w:t>g</w:t>
      </w:r>
      <w:r>
        <w:t xml:space="preserve">gerarbeiten), andererseits um die Gefahr des Abrutschens des </w:t>
      </w:r>
      <w:proofErr w:type="spellStart"/>
      <w:r>
        <w:t>Elbhangs</w:t>
      </w:r>
      <w:proofErr w:type="spellEnd"/>
      <w:r>
        <w:t xml:space="preserve"> auch zu einem späteren Zeitpunkt in der Betriebsphase.</w:t>
      </w:r>
    </w:p>
    <w:p w:rsidR="00391C17" w:rsidRDefault="00391C17" w:rsidP="00947103"/>
    <w:p w:rsidR="00391C17" w:rsidRDefault="00391C17" w:rsidP="00947103">
      <w:r>
        <w:t xml:space="preserve">Solange diese potenziellen Auswirkungen auf den </w:t>
      </w:r>
      <w:proofErr w:type="spellStart"/>
      <w:r>
        <w:t>Elbhang</w:t>
      </w:r>
      <w:proofErr w:type="spellEnd"/>
      <w:r>
        <w:t xml:space="preserve"> und somit auf die dortigen Bewohner/-innen und in Bezug auf mögliche Folgekosten auch für die Stadt Hamburg nicht glaubhaft entkräftet wurden, darf es keine Genehmigung des Planfeststellungsantrags geben.</w:t>
      </w:r>
    </w:p>
    <w:p w:rsidR="00391C17" w:rsidRDefault="00391C17" w:rsidP="00947103"/>
    <w:p w:rsidR="00391C17" w:rsidRDefault="00391C17" w:rsidP="00947103">
      <w:r>
        <w:rPr>
          <w:u w:val="single"/>
        </w:rPr>
        <w:t>Ausgleichsmaßnahmen</w:t>
      </w:r>
    </w:p>
    <w:p w:rsidR="00391C17" w:rsidRDefault="00391C17" w:rsidP="00947103">
      <w:r>
        <w:t xml:space="preserve">Am </w:t>
      </w:r>
      <w:proofErr w:type="spellStart"/>
      <w:r>
        <w:t>Bubendeyufer</w:t>
      </w:r>
      <w:proofErr w:type="spellEnd"/>
      <w:r>
        <w:t xml:space="preserve"> soll die Pappelallee für die neuen Kaianlagen abgeholzt werden und Fledermäuse verlieren ihre Habitate. In </w:t>
      </w:r>
      <w:proofErr w:type="spellStart"/>
      <w:r>
        <w:t>Oevelgönne</w:t>
      </w:r>
      <w:proofErr w:type="spellEnd"/>
      <w:r>
        <w:t xml:space="preserve"> und </w:t>
      </w:r>
      <w:proofErr w:type="spellStart"/>
      <w:r>
        <w:t>Waltershof</w:t>
      </w:r>
      <w:proofErr w:type="spellEnd"/>
      <w:r>
        <w:t xml:space="preserve"> müsste für die Erstellung neuer Radarstati</w:t>
      </w:r>
      <w:r>
        <w:t>o</w:t>
      </w:r>
      <w:r>
        <w:t>nen vorhandene Vegetation beseitigt werden. Eine Gewässerfläche wird zugeschüttet. Für die eing</w:t>
      </w:r>
      <w:r>
        <w:t>e</w:t>
      </w:r>
      <w:r>
        <w:t>tretenen Schäden werden keine Ausgleichsmaßnahmen angeführt.</w:t>
      </w:r>
    </w:p>
    <w:p w:rsidR="00391C17" w:rsidRDefault="00391C17" w:rsidP="00947103"/>
    <w:p w:rsidR="00391C17" w:rsidRDefault="00391C17" w:rsidP="00947103">
      <w:r>
        <w:t xml:space="preserve">Ich fordere, dass den Planungsunterlagen Vorschläge für </w:t>
      </w:r>
      <w:proofErr w:type="spellStart"/>
      <w:r>
        <w:t>ortsnahe</w:t>
      </w:r>
      <w:proofErr w:type="spellEnd"/>
      <w:r>
        <w:t xml:space="preserve"> Ausgleichsmaßnahmen zumindest für die Fledermäuse, Baumbestände und Wasserflächen beigefügt werden. Ohne ein Angebot an ortsnahen Ausgleichsmaßnahmen darf das Planfeststellungsverfahren nicht fortgeführt werden.</w:t>
      </w:r>
    </w:p>
    <w:p w:rsidR="00391C17" w:rsidRDefault="00391C17" w:rsidP="00947103"/>
    <w:p w:rsidR="00391C17" w:rsidRDefault="00391C17" w:rsidP="00A50553"/>
    <w:p w:rsidR="00391C17" w:rsidRPr="00577B88" w:rsidRDefault="00391C17" w:rsidP="006706E6">
      <w:pPr>
        <w:rPr>
          <w:b/>
        </w:rPr>
      </w:pPr>
      <w:r w:rsidRPr="00577B88">
        <w:rPr>
          <w:b/>
        </w:rPr>
        <w:t>Einwendung zu Schalltechnischen Berechnungen (B.2.4, B.2.5, B.2.8) und überarbeitetes Schal</w:t>
      </w:r>
      <w:r w:rsidRPr="00577B88">
        <w:rPr>
          <w:b/>
        </w:rPr>
        <w:t>l</w:t>
      </w:r>
      <w:r w:rsidRPr="00577B88">
        <w:rPr>
          <w:b/>
        </w:rPr>
        <w:t xml:space="preserve">technisches </w:t>
      </w:r>
      <w:proofErr w:type="spellStart"/>
      <w:r w:rsidRPr="00577B88">
        <w:rPr>
          <w:b/>
        </w:rPr>
        <w:t>Gutachen</w:t>
      </w:r>
      <w:proofErr w:type="spellEnd"/>
      <w:r w:rsidRPr="00577B88">
        <w:rPr>
          <w:b/>
        </w:rPr>
        <w:t xml:space="preserve"> zur geplanten Westerweiterung</w:t>
      </w:r>
    </w:p>
    <w:p w:rsidR="00391C17" w:rsidRDefault="00391C17" w:rsidP="006706E6"/>
    <w:p w:rsidR="00391C17" w:rsidRDefault="00391C17" w:rsidP="006706E6">
      <w:r>
        <w:t>Grundsätzlich ist zu den Unterlagen zum Thema „Schall“ im Planfeststellungsverfahren festzustellen, dass die Lärmbeeinträchtigung durch den Hafenbetrieb bzw. bei der Umsetzung der geplanten Ma</w:t>
      </w:r>
      <w:r>
        <w:t>ß</w:t>
      </w:r>
      <w:r>
        <w:t>nahme durch den Baubetrieb im Sinne des privatwirtschaftlichen Betreibers Eurogate herunter g</w:t>
      </w:r>
      <w:r>
        <w:t>e</w:t>
      </w:r>
      <w:r>
        <w:t>spielt werden. Im Kapitel B.2.8 „Schalltechnische Stellungnahme zum Schutzgut Mensch“ findet sich kein Verweis auf Studien, die das Thema Lärm und Gesundheitsgefährdung untersucht haben. Auch hier wird immer nur auf Maschinen abgestellt, niemals auf Menschen.</w:t>
      </w:r>
    </w:p>
    <w:p w:rsidR="00391C17" w:rsidRDefault="00391C17" w:rsidP="006706E6"/>
    <w:p w:rsidR="00391C17" w:rsidRDefault="00391C17" w:rsidP="006706E6">
      <w:r>
        <w:lastRenderedPageBreak/>
        <w:t>Ebenso ist zu bemängeln, dass die Maßeinheiten zur Bewertung der Lärmbeeinträchtigungen sich ausschließlich auf dB(A) beziehen, jedoch nicht auf die Lautheit der Geräusche (empfundene Lau</w:t>
      </w:r>
      <w:r>
        <w:t>t</w:t>
      </w:r>
      <w:r>
        <w:t>stärke eines Schallereignissen, z.B. Stanley Smith Stevens, „</w:t>
      </w:r>
      <w:proofErr w:type="spellStart"/>
      <w:r>
        <w:t>Sone</w:t>
      </w:r>
      <w:proofErr w:type="spellEnd"/>
      <w:r>
        <w:t>“) sowie auf die Frequenzen (tiefe bzw. hohe Frequenzen).</w:t>
      </w:r>
    </w:p>
    <w:p w:rsidR="00391C17" w:rsidRDefault="00391C17" w:rsidP="006706E6"/>
    <w:p w:rsidR="00391C17" w:rsidRDefault="00391C17" w:rsidP="006706E6">
      <w:r>
        <w:t>Wegen dieser grundlegend mangelhaften Untersuchungen können die Prognosen zur Entwicklung der Lärmbelastung für die Anwohnerinnen und Anwohner nicht herangezogen werden und der Pla</w:t>
      </w:r>
      <w:r>
        <w:t>n</w:t>
      </w:r>
      <w:r>
        <w:t>feststellungsantrag muss vollständig abgewiesen werden.</w:t>
      </w:r>
    </w:p>
    <w:p w:rsidR="00391C17" w:rsidRDefault="00391C17" w:rsidP="006706E6"/>
    <w:p w:rsidR="00391C17" w:rsidRPr="00B0782F" w:rsidRDefault="00391C17" w:rsidP="006706E6">
      <w:pPr>
        <w:pStyle w:val="Listenabsatz"/>
        <w:numPr>
          <w:ilvl w:val="0"/>
          <w:numId w:val="9"/>
        </w:numPr>
        <w:rPr>
          <w:b/>
        </w:rPr>
      </w:pPr>
      <w:r w:rsidRPr="00B0782F">
        <w:rPr>
          <w:b/>
        </w:rPr>
        <w:t>Gemengelagen und Ausgangssituation in den betroffenen Wohngebieten</w:t>
      </w:r>
    </w:p>
    <w:p w:rsidR="00391C17" w:rsidRPr="006706E6" w:rsidRDefault="00391C17" w:rsidP="006706E6">
      <w:pPr>
        <w:pStyle w:val="Listenabsatz"/>
        <w:ind w:left="360"/>
      </w:pPr>
      <w:r w:rsidRPr="006706E6">
        <w:t xml:space="preserve">Von den Bauarbeiten und dem späteren Betrieb werden unmittelbar die Stadtteile </w:t>
      </w:r>
      <w:proofErr w:type="spellStart"/>
      <w:r w:rsidRPr="006706E6">
        <w:t>Oevelgönne</w:t>
      </w:r>
      <w:proofErr w:type="spellEnd"/>
      <w:r w:rsidRPr="006706E6">
        <w:t xml:space="preserve"> und Finkenwerder betroffen sein. Konkret bezeichnet werden diese Bereiche in den Planunterl</w:t>
      </w:r>
      <w:r w:rsidRPr="006706E6">
        <w:t>a</w:t>
      </w:r>
      <w:r w:rsidRPr="006706E6">
        <w:t>gen als die Gebiete „Othmarschen 6“ und „Othmarschen 3“ (Baupolizeiverordnung von 1938) und „Finkenwerder 18“ und „Finkenwerder 22“ (Bebauungspläne von 1976). Alle 4 Gebiete sind als „reine Wohngebiete“ ausgewiesen.</w:t>
      </w:r>
    </w:p>
    <w:p w:rsidR="00391C17" w:rsidRPr="006706E6" w:rsidRDefault="00391C17" w:rsidP="006706E6">
      <w:pPr>
        <w:pStyle w:val="Listenabsatz"/>
        <w:ind w:left="360"/>
      </w:pPr>
    </w:p>
    <w:p w:rsidR="00391C17" w:rsidRPr="006706E6" w:rsidRDefault="00391C17" w:rsidP="006706E6">
      <w:pPr>
        <w:pStyle w:val="Listenabsatz"/>
        <w:ind w:left="360"/>
      </w:pPr>
      <w:r w:rsidRPr="006706E6">
        <w:t>Gemäß der TA Lärm gibt es in reinen Wohngebieten Grenzwerte für Lärmimmissionen, die tag</w:t>
      </w:r>
      <w:r w:rsidRPr="006706E6">
        <w:t>s</w:t>
      </w:r>
      <w:r w:rsidRPr="006706E6">
        <w:t>über zwischen 06:00 Uhr und 22:00 Uhr 50 dB(A) und nachts zwischen 22:00 Uhr und 06:00 Uhr 35 dB(A) im Schnitt nicht übersteigen dürfen.</w:t>
      </w:r>
    </w:p>
    <w:p w:rsidR="00391C17" w:rsidRPr="006706E6" w:rsidRDefault="00391C17" w:rsidP="006706E6">
      <w:pPr>
        <w:pStyle w:val="Listenabsatz"/>
        <w:ind w:left="360"/>
      </w:pPr>
    </w:p>
    <w:p w:rsidR="00391C17" w:rsidRPr="006706E6" w:rsidRDefault="00391C17" w:rsidP="006706E6">
      <w:pPr>
        <w:pStyle w:val="Listenabsatz"/>
        <w:ind w:left="360"/>
      </w:pPr>
      <w:r w:rsidRPr="006706E6">
        <w:t>Durch die Nähe zum Hamburger Hafen kommt eine Ausnahmeregelung der TA Lärm zum Tragen:</w:t>
      </w:r>
    </w:p>
    <w:p w:rsidR="00391C17" w:rsidRDefault="00391C17" w:rsidP="006706E6">
      <w:pPr>
        <w:rPr>
          <w:b/>
          <w:i/>
        </w:rPr>
      </w:pPr>
    </w:p>
    <w:p w:rsidR="00391C17" w:rsidRPr="006706E6" w:rsidRDefault="00391C17" w:rsidP="006706E6">
      <w:pPr>
        <w:pStyle w:val="Listenabsatz"/>
        <w:ind w:left="360"/>
        <w:rPr>
          <w:b/>
          <w:i/>
        </w:rPr>
      </w:pPr>
      <w:r w:rsidRPr="006706E6">
        <w:rPr>
          <w:b/>
          <w:i/>
        </w:rPr>
        <w:t>Abschnitt 6.7 TA Lärm – Gemengelagen</w:t>
      </w:r>
    </w:p>
    <w:p w:rsidR="00391C17" w:rsidRPr="006706E6" w:rsidRDefault="00391C17" w:rsidP="006706E6">
      <w:pPr>
        <w:pStyle w:val="Listenabsatz"/>
        <w:ind w:left="360"/>
        <w:rPr>
          <w:i/>
        </w:rPr>
      </w:pPr>
      <w:r w:rsidRPr="006706E6">
        <w:rPr>
          <w:i/>
        </w:rPr>
        <w:t>Wenn gewerblich, industriell oder hinsichtlich ihrer Geräuschauswirkungen vergleichbar genutzte und zum Wohnen dienende Gebiete aneinander grenzen (Gemengelage), können die für die zum Wohnen dienenden Gebiete geltenden Immissionsrichtwerte auf einen geeigneten Zwischenwert der für die aneinandergrenzenden Gebietskategorien geltenden Werte erhöht werden, soweit dies nach der gegenseitigen Pflicht zur Rücksichtnahme erforderlich ist. Die Immissionsrichtwerte für Kern-, Dorf- und Mischgebiete sollen dabei nicht überschritten werden. Es ist vorauszusetzen, dass der Stand der Lärmminderungstechnik eingehalten wird.</w:t>
      </w:r>
    </w:p>
    <w:p w:rsidR="00391C17" w:rsidRPr="006706E6" w:rsidRDefault="00391C17" w:rsidP="006706E6">
      <w:pPr>
        <w:pStyle w:val="Listenabsatz"/>
        <w:ind w:left="360"/>
        <w:rPr>
          <w:i/>
        </w:rPr>
      </w:pPr>
      <w:r w:rsidRPr="006706E6">
        <w:rPr>
          <w:i/>
        </w:rPr>
        <w:t>Für die Höhe des Zwischenwertes nach Absatz 1 ist die konkrete Schutzwürdigkeit des betroffenen Gebietes maßgeblich. Wesentliche Kriterien sind die Prägung des Einwirkungsgebiets durch den Umfang der Wohnbebauung einerseits und durch Gewerbe- und Industriebetriebe andererseits, die Ortsüblichkeit eines Geräusches und die Frage, welche der unverträglichen Nutzungen zuerst verwirklicht wurde. Liegt ein Gebiet mit erhöhter Schutzwürdigkeit nur in einer Richtung zur Anl</w:t>
      </w:r>
      <w:r w:rsidRPr="006706E6">
        <w:rPr>
          <w:i/>
        </w:rPr>
        <w:t>a</w:t>
      </w:r>
      <w:r w:rsidRPr="006706E6">
        <w:rPr>
          <w:i/>
        </w:rPr>
        <w:t>ge, so ist dem durch die Anordnung der Anlage auf dem Betriebsgrundstück und die Nutzung von Abschirmungsmöglichkeiten Rechnung zu tragen.“</w:t>
      </w:r>
    </w:p>
    <w:p w:rsidR="00391C17" w:rsidRDefault="00391C17" w:rsidP="006706E6"/>
    <w:p w:rsidR="00391C17" w:rsidRDefault="00391C17" w:rsidP="006706E6">
      <w:pPr>
        <w:pStyle w:val="Listenabsatz"/>
        <w:ind w:left="360"/>
      </w:pPr>
      <w:r>
        <w:t>Nach dieser Ausnahmeregelung wurden für die betroffenen Wohngebiete Immissionswerte von tagsüber 60 dB(A) und nachts 45 dB(A) festgelegt. Das entspricht einem Plus von 20% tagsüber und knapp 29% nachts.</w:t>
      </w:r>
    </w:p>
    <w:p w:rsidR="00391C17" w:rsidRDefault="00391C17" w:rsidP="006706E6">
      <w:pPr>
        <w:pStyle w:val="Listenabsatz"/>
        <w:ind w:left="360"/>
      </w:pPr>
    </w:p>
    <w:p w:rsidR="00391C17" w:rsidRDefault="00391C17" w:rsidP="006706E6">
      <w:pPr>
        <w:pStyle w:val="Listenabsatz"/>
        <w:ind w:left="360"/>
      </w:pPr>
      <w:r>
        <w:t>Ich fordere, dass die Regelungen der TA Lärm zur Anwendung kommen. Ich fordere, dass zur En</w:t>
      </w:r>
      <w:r>
        <w:t>t</w:t>
      </w:r>
      <w:r>
        <w:t xml:space="preserve">sprechung der Gemengelage nach der TA Lärm </w:t>
      </w:r>
      <w:r w:rsidRPr="006706E6">
        <w:rPr>
          <w:u w:val="single"/>
        </w:rPr>
        <w:t>mindestens</w:t>
      </w:r>
      <w:r>
        <w:t xml:space="preserve"> die üblichen Maßnahmen eingeleitet werden und ich in diese Maßnahmen durch direkte Beteiligung einbezogen werde.</w:t>
      </w:r>
    </w:p>
    <w:p w:rsidR="00391C17" w:rsidRDefault="00391C17" w:rsidP="006706E6"/>
    <w:p w:rsidR="00391C17" w:rsidRPr="006706E6" w:rsidRDefault="00391C17" w:rsidP="006706E6">
      <w:pPr>
        <w:pStyle w:val="Listenabsatz"/>
        <w:numPr>
          <w:ilvl w:val="0"/>
          <w:numId w:val="9"/>
        </w:numPr>
        <w:rPr>
          <w:b/>
        </w:rPr>
      </w:pPr>
      <w:r w:rsidRPr="006706E6">
        <w:rPr>
          <w:b/>
        </w:rPr>
        <w:t>Lärmimmissionen und Gesundheit</w:t>
      </w:r>
    </w:p>
    <w:p w:rsidR="00391C17" w:rsidRDefault="00391C17" w:rsidP="006706E6">
      <w:pPr>
        <w:pStyle w:val="Listenabsatz"/>
        <w:ind w:left="360"/>
      </w:pPr>
      <w:r>
        <w:t xml:space="preserve">Vor allem nachts machen sich Lärmimmissionen bemerkbar. Nach Aussagen der World </w:t>
      </w:r>
      <w:proofErr w:type="spellStart"/>
      <w:r>
        <w:t>Health</w:t>
      </w:r>
      <w:proofErr w:type="spellEnd"/>
      <w:r>
        <w:t xml:space="preserve"> Organisation (WHO) ist ein gesunder Schlaf bei Werten von maximal 30 bis 35 dB(A) am Ohr des Schläfers gewährleistet (</w:t>
      </w:r>
      <w:proofErr w:type="spellStart"/>
      <w:r>
        <w:t>Night</w:t>
      </w:r>
      <w:proofErr w:type="spellEnd"/>
      <w:r>
        <w:t xml:space="preserve"> </w:t>
      </w:r>
      <w:proofErr w:type="spellStart"/>
      <w:r>
        <w:t>noise</w:t>
      </w:r>
      <w:proofErr w:type="spellEnd"/>
      <w:r>
        <w:t xml:space="preserve"> </w:t>
      </w:r>
      <w:proofErr w:type="spellStart"/>
      <w:r>
        <w:t>guidelines</w:t>
      </w:r>
      <w:proofErr w:type="spellEnd"/>
      <w:r>
        <w:t xml:space="preserve"> </w:t>
      </w:r>
      <w:proofErr w:type="spellStart"/>
      <w:r>
        <w:t>for</w:t>
      </w:r>
      <w:proofErr w:type="spellEnd"/>
      <w:r>
        <w:t xml:space="preserve"> Europe, WHO, 2009). Diese Werte werden b</w:t>
      </w:r>
      <w:r>
        <w:t>e</w:t>
      </w:r>
      <w:r>
        <w:t>reits jetzt durch den Hafenlärm deutlich überschritten. Im Nachtrag zur UVS werden auf Seite 4 für das Jahr 2014 für die am stärksten betroffenen Gebiete folgende Werte als Ist-Zustand fes</w:t>
      </w:r>
      <w:r>
        <w:t>t</w:t>
      </w:r>
      <w:r>
        <w:t>gestellt: Teil-UG 1: 55,5 dB(A) bzw. 56,0 dB(A), Teil-UG 2: 52,0 dB(A) bis 55,7 dB(A).</w:t>
      </w:r>
    </w:p>
    <w:p w:rsidR="00391C17" w:rsidRDefault="00391C17" w:rsidP="006706E6">
      <w:pPr>
        <w:pStyle w:val="Listenabsatz"/>
        <w:ind w:left="360"/>
      </w:pPr>
    </w:p>
    <w:p w:rsidR="00391C17" w:rsidRDefault="00391C17" w:rsidP="006706E6">
      <w:pPr>
        <w:pStyle w:val="Listenabsatz"/>
        <w:ind w:left="360"/>
      </w:pPr>
      <w:r>
        <w:t>Diese Werte übersteigen deutlich die für die Gemengelage festgelegten Immissionswerte (s.o.) und zwar zwischen 15,6 % und 24,4 %, woraus sich Abweichungen von dem gesundheitlich u</w:t>
      </w:r>
      <w:r>
        <w:t>n</w:t>
      </w:r>
      <w:r>
        <w:t>bedenklichen Wert (35 dB(A)) zwischen 48,6 % und 60 % ergeben.</w:t>
      </w:r>
    </w:p>
    <w:p w:rsidR="00391C17" w:rsidRDefault="00391C17" w:rsidP="006706E6">
      <w:pPr>
        <w:pStyle w:val="Listenabsatz"/>
        <w:ind w:left="360"/>
      </w:pPr>
    </w:p>
    <w:p w:rsidR="00391C17" w:rsidRDefault="00391C17" w:rsidP="006706E6">
      <w:pPr>
        <w:pStyle w:val="Listenabsatz"/>
        <w:ind w:left="360"/>
      </w:pPr>
      <w:r>
        <w:t>Der Hafenbetrieb muss Lärm reduzieren und Rücksicht auf die Anwohnerinnen und Anwohner rund um den Hafen nehmen</w:t>
      </w:r>
      <w:proofErr w:type="gramStart"/>
      <w:r>
        <w:t>.(</w:t>
      </w:r>
      <w:proofErr w:type="gramEnd"/>
      <w:r>
        <w:t>Abschnitt 6.7 TA Lärm – Gemengelagen). Eine weitere Zunahme der Lärmbelastung während der Bauarbeiten und des Betriebs des erweiterten Terminals ist unzulä</w:t>
      </w:r>
      <w:r>
        <w:t>s</w:t>
      </w:r>
      <w:r>
        <w:t>sig.</w:t>
      </w:r>
    </w:p>
    <w:p w:rsidR="00391C17" w:rsidRDefault="00391C17" w:rsidP="006706E6">
      <w:pPr>
        <w:pStyle w:val="Listenabsatz"/>
        <w:ind w:left="360"/>
      </w:pPr>
    </w:p>
    <w:p w:rsidR="00391C17" w:rsidRDefault="00391C17" w:rsidP="006706E6">
      <w:pPr>
        <w:pStyle w:val="Listenabsatz"/>
        <w:ind w:left="360"/>
      </w:pPr>
      <w:r>
        <w:t>Ich fordere die Berücksichtigung der WHO-Feststellungen und die Überarbeitung der Planung</w:t>
      </w:r>
      <w:r>
        <w:t>s</w:t>
      </w:r>
      <w:r>
        <w:t>unterlagen.</w:t>
      </w:r>
    </w:p>
    <w:p w:rsidR="00391C17" w:rsidRDefault="00391C17" w:rsidP="006706E6"/>
    <w:p w:rsidR="00391C17" w:rsidRPr="006706E6" w:rsidRDefault="00391C17" w:rsidP="006706E6">
      <w:pPr>
        <w:pStyle w:val="Listenabsatz"/>
        <w:numPr>
          <w:ilvl w:val="0"/>
          <w:numId w:val="9"/>
        </w:numPr>
        <w:rPr>
          <w:b/>
        </w:rPr>
      </w:pPr>
      <w:r w:rsidRPr="006706E6">
        <w:rPr>
          <w:b/>
        </w:rPr>
        <w:t>Bedenken gegen die Aussagekraft der Messwerte und Prognosen</w:t>
      </w:r>
    </w:p>
    <w:p w:rsidR="00391C17" w:rsidRDefault="00391C17" w:rsidP="006706E6">
      <w:pPr>
        <w:pStyle w:val="Listenabsatz"/>
        <w:ind w:left="360"/>
      </w:pPr>
      <w:r>
        <w:t xml:space="preserve">Die sogenannten Spitzenimmissionspegel, die lt. Fachbeitrag der </w:t>
      </w:r>
      <w:proofErr w:type="spellStart"/>
      <w:r>
        <w:t>ted</w:t>
      </w:r>
      <w:proofErr w:type="spellEnd"/>
      <w:r>
        <w:t xml:space="preserve"> GmbH nicht wirklich prognostizierbar sind, werden unterbewertet. Sie werden vor allem mit Containerbewegungen (fehlerhaftes Aufnehmen und Absetzen) sowie der Schließung von </w:t>
      </w:r>
      <w:proofErr w:type="spellStart"/>
      <w:r>
        <w:t>Lukendeckeln</w:t>
      </w:r>
      <w:proofErr w:type="spellEnd"/>
      <w:r>
        <w:t xml:space="preserve"> in Verbindung gebracht. In Bremerhaven wurde eine spezielle Messung von Geräuschspitzen über einen Zei</w:t>
      </w:r>
      <w:r>
        <w:t>t</w:t>
      </w:r>
      <w:r>
        <w:t>raum von einem Jahr gemacht. Warum ist das für den Hamburger Hafen, vor allem jetzt in Ve</w:t>
      </w:r>
      <w:r>
        <w:t>r</w:t>
      </w:r>
      <w:r>
        <w:t>bindung mit der geplanten Westerweiterung, nicht erfolgt?</w:t>
      </w:r>
    </w:p>
    <w:p w:rsidR="00391C17" w:rsidRDefault="00391C17" w:rsidP="006706E6">
      <w:pPr>
        <w:pStyle w:val="Listenabsatz"/>
        <w:ind w:left="360"/>
      </w:pPr>
    </w:p>
    <w:p w:rsidR="00391C17" w:rsidRDefault="00391C17" w:rsidP="006706E6">
      <w:pPr>
        <w:pStyle w:val="Listenabsatz"/>
        <w:ind w:left="360"/>
      </w:pPr>
      <w:r>
        <w:t xml:space="preserve">Ich fordere eine langfristige Auswertung der bestehenden </w:t>
      </w:r>
      <w:proofErr w:type="spellStart"/>
      <w:r>
        <w:t>Spitzenimmisionspegel</w:t>
      </w:r>
      <w:proofErr w:type="spellEnd"/>
      <w:r>
        <w:t xml:space="preserve"> sowie eine B</w:t>
      </w:r>
      <w:r>
        <w:t>e</w:t>
      </w:r>
      <w:r>
        <w:t xml:space="preserve">wertung der gesundheitlichen Beeinträchtigungen durch diese. Ohne </w:t>
      </w:r>
      <w:proofErr w:type="spellStart"/>
      <w:r>
        <w:t>verläßliche</w:t>
      </w:r>
      <w:proofErr w:type="spellEnd"/>
      <w:r>
        <w:t xml:space="preserve"> Aussagen hierzu</w:t>
      </w:r>
      <w:r w:rsidRPr="00E702E0">
        <w:t xml:space="preserve"> </w:t>
      </w:r>
      <w:r>
        <w:t>in den Planfeststellungsunterlagen und Fachbeiträgen, darf der Planfeststellungsantrag nicht g</w:t>
      </w:r>
      <w:r>
        <w:t>e</w:t>
      </w:r>
      <w:r>
        <w:t>nehmigt werden.</w:t>
      </w:r>
    </w:p>
    <w:p w:rsidR="00391C17" w:rsidRDefault="00391C17" w:rsidP="006706E6">
      <w:pPr>
        <w:pStyle w:val="Listenabsatz"/>
        <w:ind w:left="360"/>
      </w:pPr>
    </w:p>
    <w:p w:rsidR="00391C17" w:rsidRDefault="00391C17" w:rsidP="006706E6">
      <w:pPr>
        <w:pStyle w:val="Listenabsatz"/>
        <w:ind w:left="360"/>
      </w:pPr>
    </w:p>
    <w:p w:rsidR="00391C17" w:rsidRDefault="00391C17" w:rsidP="006706E6">
      <w:pPr>
        <w:pStyle w:val="Listenabsatz"/>
        <w:ind w:left="360"/>
      </w:pPr>
      <w:proofErr w:type="spellStart"/>
      <w:r>
        <w:t>Tieffrequente</w:t>
      </w:r>
      <w:proofErr w:type="spellEnd"/>
      <w:r>
        <w:t xml:space="preserve"> Geräusche werden im Wesentlichen von den Schiffen selbst verursacht. Diese wurden in dem Planfeststellungsantrag jedoch kaum untersucht und bewertet, da sie keine gesundheitsschädlichen Auswirkungen haben sollen.</w:t>
      </w:r>
    </w:p>
    <w:p w:rsidR="00391C17" w:rsidRDefault="00391C17" w:rsidP="006706E6">
      <w:pPr>
        <w:pStyle w:val="Listenabsatz"/>
        <w:ind w:left="360"/>
      </w:pPr>
    </w:p>
    <w:p w:rsidR="00391C17" w:rsidRDefault="00391C17" w:rsidP="006706E6">
      <w:pPr>
        <w:pStyle w:val="Listenabsatz"/>
        <w:ind w:left="360"/>
      </w:pPr>
      <w:r>
        <w:t xml:space="preserve">Geräusche bei tiefen Frequenzen können sich im Freien über große Entfernungen kilometerweit ausbreiten. </w:t>
      </w:r>
      <w:proofErr w:type="spellStart"/>
      <w:r>
        <w:t>Infraschall</w:t>
      </w:r>
      <w:proofErr w:type="spellEnd"/>
      <w:r>
        <w:t xml:space="preserve"> (Frequenzbereich unter 20 Hz) wird i.d.R. akustisch nicht wahrgenommen, ist jedoch nicht prinzipiell unhörbar. </w:t>
      </w:r>
      <w:proofErr w:type="spellStart"/>
      <w:r>
        <w:t>Überschwellige</w:t>
      </w:r>
      <w:proofErr w:type="spellEnd"/>
      <w:r>
        <w:t xml:space="preserve"> Immissionen werden als Pulsationen und Vibrationen wahrgenommen. Betroffene spüren einen Ohrendruck und Unsicherheits- und Angstgefühle. Als spezielle Wirkung ist eine Herabsetzung der Atemfrequenz bekannt. Im Fr</w:t>
      </w:r>
      <w:r>
        <w:t>e</w:t>
      </w:r>
      <w:r>
        <w:t>quenzbereich zwischen 20 und 60 Hz sind die Geräusche (schwach) hörbar. Betroffene klagen oft über ein im Kopf auftretendes Dröhn-, Schwingungs- oder Druckgefühl, das auf die Dauer als u</w:t>
      </w:r>
      <w:r>
        <w:t>n</w:t>
      </w:r>
      <w:r>
        <w:t xml:space="preserve">erträglich empfunden wird. In Wohnräumen normaler Größe können </w:t>
      </w:r>
      <w:proofErr w:type="spellStart"/>
      <w:r>
        <w:t>tieffrequente</w:t>
      </w:r>
      <w:proofErr w:type="spellEnd"/>
      <w:r>
        <w:t xml:space="preserve"> Eigenres</w:t>
      </w:r>
      <w:r>
        <w:t>o</w:t>
      </w:r>
      <w:r>
        <w:t>nanzen unangenehm angeregt werden. Es baut sich ein „Stehwellenfeld“ auf, indem sich durch Wandreflexion hin- und zurücklaufende Wellen überlagern und gegenseitig verstärken oder ganz bzw. teilweise aufheben. Dies führt zu sehr starken Schalldruckpegelanhebungen an bestimmten Orten des Raumes. Es kommt zu einer starken Orts-, Frequenz- und Zeitabhängigkeit de</w:t>
      </w:r>
      <w:r w:rsidR="00B0782F">
        <w:t>s</w:t>
      </w:r>
      <w:r>
        <w:t xml:space="preserve"> Schal</w:t>
      </w:r>
      <w:r>
        <w:t>l</w:t>
      </w:r>
      <w:r>
        <w:t>feldes. Üblicherweise sind dabei die Schallpegel vor Wänden und in Raumecken besonders laut.</w:t>
      </w:r>
    </w:p>
    <w:p w:rsidR="00391C17" w:rsidRDefault="00391C17" w:rsidP="006706E6">
      <w:pPr>
        <w:pStyle w:val="Listenabsatz"/>
        <w:ind w:left="360"/>
      </w:pPr>
    </w:p>
    <w:p w:rsidR="00391C17" w:rsidRDefault="00391C17" w:rsidP="006706E6">
      <w:pPr>
        <w:pStyle w:val="Listenabsatz"/>
        <w:ind w:left="360"/>
      </w:pPr>
      <w:r w:rsidRPr="006706E6">
        <w:rPr>
          <w:i/>
        </w:rPr>
        <w:t xml:space="preserve">„Bei </w:t>
      </w:r>
      <w:proofErr w:type="spellStart"/>
      <w:r w:rsidRPr="006706E6">
        <w:rPr>
          <w:i/>
        </w:rPr>
        <w:t>tieffrequenten</w:t>
      </w:r>
      <w:proofErr w:type="spellEnd"/>
      <w:r w:rsidRPr="006706E6">
        <w:rPr>
          <w:i/>
        </w:rPr>
        <w:t xml:space="preserve"> Geräuschemissionen und insbesondere bei </w:t>
      </w:r>
      <w:proofErr w:type="spellStart"/>
      <w:r w:rsidRPr="006706E6">
        <w:rPr>
          <w:i/>
        </w:rPr>
        <w:t>Tonhaltigkeit</w:t>
      </w:r>
      <w:proofErr w:type="spellEnd"/>
      <w:r w:rsidRPr="006706E6">
        <w:rPr>
          <w:i/>
        </w:rPr>
        <w:t xml:space="preserve"> können je nach Ei</w:t>
      </w:r>
      <w:r w:rsidRPr="006706E6">
        <w:rPr>
          <w:i/>
        </w:rPr>
        <w:t>n</w:t>
      </w:r>
      <w:r w:rsidRPr="006706E6">
        <w:rPr>
          <w:i/>
        </w:rPr>
        <w:t>wirkungsort und -zeit erhebliche Belästigungen bereits auftreten, wenn die Hörschwelle nur g</w:t>
      </w:r>
      <w:r w:rsidRPr="006706E6">
        <w:rPr>
          <w:i/>
        </w:rPr>
        <w:t>e</w:t>
      </w:r>
      <w:r w:rsidRPr="006706E6">
        <w:rPr>
          <w:i/>
        </w:rPr>
        <w:t>ringfügig überschritten ist. Wegen der unterschiedlichen Frequenzabhängigkeiten der A-Bewertungskurve einerseits und der Hörschwelle andererseits lässt sich anhand einer Einzahla</w:t>
      </w:r>
      <w:r w:rsidRPr="006706E6">
        <w:rPr>
          <w:i/>
        </w:rPr>
        <w:t>n</w:t>
      </w:r>
      <w:r w:rsidRPr="006706E6">
        <w:rPr>
          <w:i/>
        </w:rPr>
        <w:t>gabe mit dem A-bewerteten Schalldruckpegel nicht sagen, ob und in welchem Umfang eine Hö</w:t>
      </w:r>
      <w:r w:rsidRPr="006706E6">
        <w:rPr>
          <w:i/>
        </w:rPr>
        <w:t>r</w:t>
      </w:r>
      <w:r w:rsidRPr="006706E6">
        <w:rPr>
          <w:i/>
        </w:rPr>
        <w:t xml:space="preserve">schwellenüberschreitung vorliegt. Da die Bedeutung tiefer Frequenzen bei der in allen Immissions-Richtlinien weltweit vorgeschriebenen A-Bewertung, insbesondere bei höheren Schallpegeln, nicht richtig zum Ausdruck kommt, sind zur gehörgerechten Beurteilung </w:t>
      </w:r>
      <w:proofErr w:type="spellStart"/>
      <w:r w:rsidRPr="006706E6">
        <w:rPr>
          <w:i/>
        </w:rPr>
        <w:t>tieffrequenter</w:t>
      </w:r>
      <w:proofErr w:type="spellEnd"/>
      <w:r w:rsidRPr="006706E6">
        <w:rPr>
          <w:i/>
        </w:rPr>
        <w:t xml:space="preserve"> Geräuschimmi</w:t>
      </w:r>
      <w:r w:rsidRPr="006706E6">
        <w:rPr>
          <w:i/>
        </w:rPr>
        <w:t>s</w:t>
      </w:r>
      <w:r w:rsidRPr="006706E6">
        <w:rPr>
          <w:i/>
        </w:rPr>
        <w:lastRenderedPageBreak/>
        <w:t>sionen ihre Terzpegel zu messen und zu bewerten</w:t>
      </w:r>
      <w:r>
        <w:rPr>
          <w:rStyle w:val="Funotenzeichen"/>
          <w:i/>
        </w:rPr>
        <w:footnoteReference w:id="8"/>
      </w:r>
      <w:r>
        <w:t>Das Umweltbundesamt hat 2011 ein Fo</w:t>
      </w:r>
      <w:r>
        <w:t>r</w:t>
      </w:r>
      <w:r>
        <w:t xml:space="preserve">schungsvorhaben in Auftrag gegeben, um die gesundheitlichen Beeinträchtigungen durch </w:t>
      </w:r>
      <w:proofErr w:type="spellStart"/>
      <w:r>
        <w:t>tieffrequente</w:t>
      </w:r>
      <w:proofErr w:type="spellEnd"/>
      <w:r>
        <w:t xml:space="preserve"> Geräusche zu untersuchen.</w:t>
      </w:r>
    </w:p>
    <w:p w:rsidR="00391C17" w:rsidRPr="00D20AC3" w:rsidRDefault="00391C17" w:rsidP="006706E6">
      <w:pPr>
        <w:pStyle w:val="Listenabsatz"/>
        <w:ind w:left="360"/>
      </w:pPr>
    </w:p>
    <w:p w:rsidR="00391C17" w:rsidRDefault="00391C17" w:rsidP="006706E6">
      <w:pPr>
        <w:pStyle w:val="Listenabsatz"/>
        <w:ind w:left="360"/>
      </w:pPr>
      <w:r>
        <w:t xml:space="preserve">Vor dem Hintergrund der Auslassung dieser besonderen Untersuchung zum </w:t>
      </w:r>
      <w:proofErr w:type="spellStart"/>
      <w:r>
        <w:t>tieffrequenten</w:t>
      </w:r>
      <w:proofErr w:type="spellEnd"/>
      <w:r>
        <w:t xml:space="preserve"> Schall kann dem Planfeststellungsantrag nicht statt gegeben werden. Ich fordere eine umfassende B</w:t>
      </w:r>
      <w:r>
        <w:t>e</w:t>
      </w:r>
      <w:r>
        <w:t>rücksichtigung dieser Untersuchung und die Einarbeitung in die Planfeststellungsunterlagen.</w:t>
      </w:r>
    </w:p>
    <w:p w:rsidR="00391C17" w:rsidRDefault="00391C17" w:rsidP="006706E6">
      <w:pPr>
        <w:pStyle w:val="Listenabsatz"/>
        <w:ind w:left="360"/>
      </w:pPr>
    </w:p>
    <w:p w:rsidR="00391C17" w:rsidRPr="006706E6" w:rsidRDefault="00391C17" w:rsidP="006706E6">
      <w:pPr>
        <w:pStyle w:val="Listenabsatz"/>
        <w:numPr>
          <w:ilvl w:val="0"/>
          <w:numId w:val="9"/>
        </w:numPr>
        <w:rPr>
          <w:b/>
        </w:rPr>
      </w:pPr>
      <w:r>
        <w:rPr>
          <w:b/>
        </w:rPr>
        <w:t xml:space="preserve">Widerspruch gegen Mittelwerte </w:t>
      </w:r>
      <w:proofErr w:type="spellStart"/>
      <w:r>
        <w:rPr>
          <w:b/>
        </w:rPr>
        <w:t>ted</w:t>
      </w:r>
      <w:proofErr w:type="spellEnd"/>
      <w:r>
        <w:rPr>
          <w:b/>
        </w:rPr>
        <w:t xml:space="preserve"> GmbH</w:t>
      </w:r>
    </w:p>
    <w:p w:rsidR="00391C17" w:rsidRDefault="00391C17" w:rsidP="006706E6">
      <w:pPr>
        <w:pStyle w:val="Listenabsatz"/>
        <w:ind w:left="360"/>
      </w:pPr>
      <w:r>
        <w:t xml:space="preserve">Ebenso ist zu hinterfragen, ob die angenommenen Mittelwerte, die durch die </w:t>
      </w:r>
      <w:proofErr w:type="spellStart"/>
      <w:r>
        <w:t>ted</w:t>
      </w:r>
      <w:proofErr w:type="spellEnd"/>
      <w:r>
        <w:t xml:space="preserve"> GmbH ermi</w:t>
      </w:r>
      <w:r>
        <w:t>t</w:t>
      </w:r>
      <w:r>
        <w:t>telt wurden, aussagekräftig sind. Zunächst wird in den Planunterlagen davon ausgegangen, dass alle Schiffe unabhängig von ihrer Größe und der Frage, ob die Hauptmaschine oder Hilfsmasch</w:t>
      </w:r>
      <w:r>
        <w:t>i</w:t>
      </w:r>
      <w:r>
        <w:t>nen laufen einen Emissionswert von 106 dB(A) bewirken.</w:t>
      </w:r>
    </w:p>
    <w:p w:rsidR="00391C17" w:rsidRDefault="00391C17" w:rsidP="006706E6">
      <w:pPr>
        <w:pStyle w:val="Listenabsatz"/>
        <w:ind w:left="360"/>
      </w:pPr>
    </w:p>
    <w:p w:rsidR="00391C17" w:rsidRDefault="00391C17" w:rsidP="007A3AE5">
      <w:pPr>
        <w:pStyle w:val="Listenabsatz"/>
        <w:ind w:left="360"/>
      </w:pPr>
      <w:r>
        <w:t>Dem steht entgegen, dass die Schiffe ihre Hauptmaschinen erst 2 Stunden nach Festmachen a</w:t>
      </w:r>
      <w:r>
        <w:t>b</w:t>
      </w:r>
      <w:r>
        <w:t xml:space="preserve">stellen müssen. Es gibt Schiffe, die so wenig zu </w:t>
      </w:r>
      <w:proofErr w:type="spellStart"/>
      <w:r>
        <w:t>ent</w:t>
      </w:r>
      <w:proofErr w:type="spellEnd"/>
      <w:r>
        <w:t>- und beladen haben, dass sie die 2 Stunden unterschreiten bzw. nur leicht überschreiten und somit ihre Hauptmaschine durchgängig laufen lassen können. Auch Hilf</w:t>
      </w:r>
      <w:r w:rsidR="00B0782F">
        <w:t>s</w:t>
      </w:r>
      <w:r>
        <w:t>maschinen verursachen Emissionen, welche selbst bei Schwesterschi</w:t>
      </w:r>
      <w:r>
        <w:t>f</w:t>
      </w:r>
      <w:r>
        <w:t>fen zu sehr unterschiedlichen Geräuschpegeln führen können. Ebenso wenig wurde berücksic</w:t>
      </w:r>
      <w:r>
        <w:t>h</w:t>
      </w:r>
      <w:r>
        <w:t>tigt, dass die meisten großen Containerschiffe Kühlcontainer an Bord haben, welche wiederum eine eigene Lärmemission ausmachen. Hinzu kommt, dass auch in Bezug auf die Schiffe au</w:t>
      </w:r>
      <w:r>
        <w:t>s</w:t>
      </w:r>
      <w:r>
        <w:t xml:space="preserve">schließlich auf dB(A) abgestellt wird, während die </w:t>
      </w:r>
      <w:proofErr w:type="spellStart"/>
      <w:r>
        <w:t>Tonhaltigkeit</w:t>
      </w:r>
      <w:proofErr w:type="spellEnd"/>
      <w:r>
        <w:t xml:space="preserve"> (hohe und tiefe Frequenzen) und die </w:t>
      </w:r>
      <w:proofErr w:type="spellStart"/>
      <w:r>
        <w:t>Impulshaltigkeit</w:t>
      </w:r>
      <w:proofErr w:type="spellEnd"/>
      <w:r>
        <w:t xml:space="preserve"> (Wummern, Tuckern, Rattern…) nicht berücksichtigt wurden.</w:t>
      </w:r>
    </w:p>
    <w:p w:rsidR="00391C17" w:rsidRDefault="00391C17" w:rsidP="007A3AE5">
      <w:pPr>
        <w:pStyle w:val="Listenabsatz"/>
        <w:ind w:left="360"/>
      </w:pPr>
    </w:p>
    <w:p w:rsidR="00391C17" w:rsidRDefault="00391C17" w:rsidP="005F67D0">
      <w:pPr>
        <w:pStyle w:val="Listenabsatz"/>
        <w:ind w:left="360"/>
      </w:pPr>
      <w:r>
        <w:t xml:space="preserve">Des </w:t>
      </w:r>
      <w:r w:rsidR="00B0782F">
        <w:t>W</w:t>
      </w:r>
      <w:r>
        <w:t>eiteren steht insgesamt in Frage, ob die Mittelung der Schallwerte zulässig ist. Ein Beispiel bezogen auf die bestehend</w:t>
      </w:r>
      <w:r w:rsidR="00B0782F">
        <w:t xml:space="preserve">en </w:t>
      </w:r>
      <w:proofErr w:type="spellStart"/>
      <w:r w:rsidR="00B0782F">
        <w:t>Lärmmeß</w:t>
      </w:r>
      <w:r>
        <w:t>stellen</w:t>
      </w:r>
      <w:proofErr w:type="spellEnd"/>
      <w:r>
        <w:t xml:space="preserve">, die sogar stündliche Mittelwerte erstellen, nicht nächtliche, wie das Gutachten der </w:t>
      </w:r>
      <w:proofErr w:type="spellStart"/>
      <w:r>
        <w:t>ted</w:t>
      </w:r>
      <w:proofErr w:type="spellEnd"/>
      <w:r>
        <w:t xml:space="preserve"> GmbH:</w:t>
      </w:r>
    </w:p>
    <w:p w:rsidR="00391C17" w:rsidRDefault="00391C17" w:rsidP="005F67D0">
      <w:pPr>
        <w:pStyle w:val="Listenabsatz"/>
        <w:ind w:left="360"/>
      </w:pPr>
    </w:p>
    <w:p w:rsidR="00391C17" w:rsidRDefault="00391C17" w:rsidP="005F67D0">
      <w:pPr>
        <w:pStyle w:val="Listenabsatz"/>
        <w:ind w:left="360"/>
      </w:pPr>
      <w:r>
        <w:t>Nehmen wir an, dass das Anlegemanöver eines Schiffes, welches nachweislich einen erhöhten Emissionswert hat, dauert genau 60 Minuten. Nehmen wir an, dass dadurch Immissionswerte von 60 dB(A) über den Zeitraum von 60 Minuten erzeugt werden. Und nehmen wir an, dass vor und nach dem Manöver Immissionswerte von 30 dB(A) herrschen.</w:t>
      </w:r>
    </w:p>
    <w:p w:rsidR="00391C17" w:rsidRDefault="00391C17" w:rsidP="005F67D0">
      <w:pPr>
        <w:pStyle w:val="Listenabsatz"/>
        <w:ind w:left="360"/>
      </w:pPr>
    </w:p>
    <w:p w:rsidR="00391C17" w:rsidRDefault="00391C17" w:rsidP="005F67D0">
      <w:pPr>
        <w:pStyle w:val="Listenabsatz"/>
        <w:ind w:left="360"/>
      </w:pPr>
      <w:r w:rsidRPr="00AE3723">
        <w:rPr>
          <w:u w:val="single"/>
        </w:rPr>
        <w:t>Beispiel 1:</w:t>
      </w:r>
      <w:r>
        <w:t xml:space="preserve"> Das Manöver vollzieht sich im Zeitraum 22:00 Uhr bis 23:00 Uhr. In diesem Fall we</w:t>
      </w:r>
      <w:r>
        <w:t>r</w:t>
      </w:r>
      <w:r>
        <w:t>den für diese 60 Minuten gemittelt 60 dB(A) erfasst.</w:t>
      </w:r>
    </w:p>
    <w:p w:rsidR="00391C17" w:rsidRDefault="00391C17" w:rsidP="005F67D0">
      <w:pPr>
        <w:pStyle w:val="Listenabsatz"/>
        <w:ind w:left="360"/>
      </w:pPr>
      <w:r w:rsidRPr="00AE3723">
        <w:rPr>
          <w:u w:val="single"/>
        </w:rPr>
        <w:t>Beispiel 2:</w:t>
      </w:r>
      <w:r>
        <w:t xml:space="preserve"> Das Manöver vollzieht sich im Zeitraum 22:30 bis 23:30 Uhr. In diesem Fall verteilen sich jeweils 30 Minuten des Manövers auf die stündlichen Mittelwerte zwischen 22:00 Uhr und 23:00 Uhr sowie 23:00 Uhr und 24:00 Uhr und ergeben für die jeweiligen Stundenwerte 45 dB(A).</w:t>
      </w:r>
    </w:p>
    <w:p w:rsidR="00391C17" w:rsidRDefault="00391C17" w:rsidP="005F67D0">
      <w:pPr>
        <w:pStyle w:val="Listenabsatz"/>
        <w:ind w:left="360"/>
      </w:pPr>
    </w:p>
    <w:p w:rsidR="00391C17" w:rsidRDefault="00391C17" w:rsidP="005F67D0">
      <w:pPr>
        <w:pStyle w:val="Listenabsatz"/>
        <w:ind w:left="360"/>
      </w:pPr>
      <w:r>
        <w:t>Daraus ergeben sich die Fragen</w:t>
      </w:r>
    </w:p>
    <w:p w:rsidR="00391C17" w:rsidRDefault="00391C17" w:rsidP="005F67D0">
      <w:pPr>
        <w:pStyle w:val="Listenabsatz"/>
        <w:ind w:left="360"/>
      </w:pPr>
      <w:r>
        <w:t>a) ob eine Mittelung der Lärmpegel zulässig und aussagekräftig ist und</w:t>
      </w:r>
      <w:r w:rsidR="003F55F0">
        <w:t>,</w:t>
      </w:r>
    </w:p>
    <w:p w:rsidR="00391C17" w:rsidRDefault="00391C17" w:rsidP="005F67D0">
      <w:pPr>
        <w:pStyle w:val="Listenabsatz"/>
        <w:ind w:left="360"/>
      </w:pPr>
      <w:r>
        <w:t>b) ob die gesundheitlichen Belastungen für die Anwohnerinnen und Anwohner durch die laut</w:t>
      </w:r>
      <w:r>
        <w:t>e</w:t>
      </w:r>
      <w:r>
        <w:t>ren und somit störenden Phasen ausreichend abgebildet werden.</w:t>
      </w:r>
    </w:p>
    <w:p w:rsidR="00391C17" w:rsidRDefault="00391C17" w:rsidP="005F67D0">
      <w:pPr>
        <w:pStyle w:val="Listenabsatz"/>
        <w:ind w:left="360"/>
      </w:pPr>
    </w:p>
    <w:p w:rsidR="00391C17" w:rsidRDefault="00391C17" w:rsidP="005F67D0">
      <w:pPr>
        <w:pStyle w:val="Listenabsatz"/>
        <w:ind w:left="360"/>
      </w:pPr>
      <w:r>
        <w:t>Ich fordere eine ausreichende Bewertung der Geräuschimmissionen bei Schiffen in den Pl</w:t>
      </w:r>
      <w:r>
        <w:t>a</w:t>
      </w:r>
      <w:r>
        <w:t>nungsunterlagen. Ebenso fordere ich eine eingehende Untersuchung zu zeitlich befristeten Lärmbelastungen auf die Gesundheit. Eine Nichtberücksichtigung muss zur Ablehnung des Pla</w:t>
      </w:r>
      <w:r>
        <w:t>n</w:t>
      </w:r>
      <w:r>
        <w:t>feststellungsantrags führen.</w:t>
      </w:r>
    </w:p>
    <w:p w:rsidR="00391C17" w:rsidRDefault="00391C17" w:rsidP="006706E6"/>
    <w:p w:rsidR="00FA7F0E" w:rsidRPr="00AC5CB9" w:rsidRDefault="00FA7F0E" w:rsidP="006706E6"/>
    <w:p w:rsidR="00391C17" w:rsidRDefault="00391C17" w:rsidP="00A50553"/>
    <w:p w:rsidR="00391C17" w:rsidRDefault="00B0782F" w:rsidP="00A50553">
      <w:r>
        <w:t>Hamburg, 10</w:t>
      </w:r>
      <w:r w:rsidR="00391C17">
        <w:t>.02.2015</w:t>
      </w:r>
    </w:p>
    <w:sectPr w:rsidR="00391C17" w:rsidSect="0043622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A93" w:rsidRDefault="002D4A93" w:rsidP="006376F9">
      <w:r>
        <w:separator/>
      </w:r>
    </w:p>
  </w:endnote>
  <w:endnote w:type="continuationSeparator" w:id="0">
    <w:p w:rsidR="002D4A93" w:rsidRDefault="002D4A93" w:rsidP="006376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vantGarde-Dem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A8C" w:rsidRDefault="00F26A8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A8C" w:rsidRDefault="00F26A8C">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A8C" w:rsidRDefault="00F26A8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A93" w:rsidRDefault="002D4A93" w:rsidP="006376F9">
      <w:r>
        <w:separator/>
      </w:r>
    </w:p>
  </w:footnote>
  <w:footnote w:type="continuationSeparator" w:id="0">
    <w:p w:rsidR="002D4A93" w:rsidRDefault="002D4A93" w:rsidP="006376F9">
      <w:r>
        <w:continuationSeparator/>
      </w:r>
    </w:p>
  </w:footnote>
  <w:footnote w:id="1">
    <w:p w:rsidR="002B79C9" w:rsidRDefault="002B79C9" w:rsidP="00AC3E65">
      <w:pPr>
        <w:pStyle w:val="Funotentext"/>
        <w:jc w:val="left"/>
      </w:pPr>
      <w:r>
        <w:rPr>
          <w:rStyle w:val="Funotenzeichen"/>
        </w:rPr>
        <w:footnoteRef/>
      </w:r>
      <w:r>
        <w:t xml:space="preserve"> </w:t>
      </w:r>
      <w:r>
        <w:tab/>
        <w:t xml:space="preserve">Statistikamt Nord: Datenbereitstellung Monatszahlen Verkehr, Seeschifffahrt, umgeschlagene Container nur Hamburg seit 2005 auf </w:t>
      </w:r>
      <w:hyperlink r:id="rId1" w:history="1">
        <w:r w:rsidRPr="00AC3E65">
          <w:rPr>
            <w:rStyle w:val="Hyperlink"/>
          </w:rPr>
          <w:t>http://www.statistik-nord.de/daten/verkehr-umwelt-und-energie/monatszahlen/</w:t>
        </w:r>
      </w:hyperlink>
      <w:r>
        <w:t xml:space="preserve"> und Hamburger Abendblatt, „Rekordumschlag im Hamburger Hafen“, 10.02.2015</w:t>
      </w:r>
    </w:p>
  </w:footnote>
  <w:footnote w:id="2">
    <w:p w:rsidR="002B79C9" w:rsidRDefault="002B79C9">
      <w:pPr>
        <w:pStyle w:val="Funotentext"/>
      </w:pPr>
      <w:r>
        <w:rPr>
          <w:rStyle w:val="Funotenzeichen"/>
        </w:rPr>
        <w:footnoteRef/>
      </w:r>
      <w:r>
        <w:tab/>
        <w:t>HHLA AG, Geschäftsbericht 2005, Hamburg 2006 und ff. Geschäftsberichte der Folgejahre, sowie Pressemi</w:t>
      </w:r>
      <w:r>
        <w:t>t</w:t>
      </w:r>
      <w:r>
        <w:t>teilung vom 05.02.2015.</w:t>
      </w:r>
    </w:p>
  </w:footnote>
  <w:footnote w:id="3">
    <w:p w:rsidR="002B79C9" w:rsidRDefault="002B79C9">
      <w:pPr>
        <w:pStyle w:val="Funotentext"/>
      </w:pPr>
      <w:r>
        <w:rPr>
          <w:rStyle w:val="Funotenzeichen"/>
        </w:rPr>
        <w:footnoteRef/>
      </w:r>
      <w:r>
        <w:tab/>
        <w:t>Eurogate GmbH &amp; Co KGaA, KG, Konzernabschluss für 2006, Bremen 2006 und ff. Konzernabschlüsse der Folgejahre und Pressemeldung vom 09.02.2015</w:t>
      </w:r>
    </w:p>
  </w:footnote>
  <w:footnote w:id="4">
    <w:p w:rsidR="002B79C9" w:rsidRDefault="002B79C9" w:rsidP="000E56BE">
      <w:pPr>
        <w:autoSpaceDE w:val="0"/>
        <w:autoSpaceDN w:val="0"/>
        <w:adjustRightInd w:val="0"/>
        <w:jc w:val="left"/>
      </w:pPr>
      <w:r>
        <w:rPr>
          <w:rStyle w:val="Funotenzeichen"/>
        </w:rPr>
        <w:footnoteRef/>
      </w:r>
      <w:r>
        <w:t xml:space="preserve"> Horst Linde: </w:t>
      </w:r>
      <w:r>
        <w:rPr>
          <w:rFonts w:cs="AvantGarde-Demi"/>
          <w:lang w:eastAsia="de-DE"/>
        </w:rPr>
        <w:t>Container in die</w:t>
      </w:r>
      <w:r w:rsidRPr="000E56BE">
        <w:rPr>
          <w:rFonts w:cs="AvantGarde-Demi"/>
          <w:lang w:eastAsia="de-DE"/>
        </w:rPr>
        <w:t xml:space="preserve"> </w:t>
      </w:r>
      <w:r>
        <w:rPr>
          <w:rFonts w:cs="AvantGarde-Demi"/>
          <w:lang w:eastAsia="de-DE"/>
        </w:rPr>
        <w:t>die Ostsee</w:t>
      </w:r>
      <w:r w:rsidRPr="000E56BE">
        <w:rPr>
          <w:rFonts w:cs="AvantGarde-Demi"/>
          <w:lang w:eastAsia="de-DE"/>
        </w:rPr>
        <w:t xml:space="preserve"> –</w:t>
      </w:r>
      <w:r>
        <w:rPr>
          <w:rFonts w:cs="AvantGarde-Demi"/>
          <w:lang w:eastAsia="de-DE"/>
        </w:rPr>
        <w:t xml:space="preserve">per </w:t>
      </w:r>
      <w:proofErr w:type="spellStart"/>
      <w:r>
        <w:rPr>
          <w:rFonts w:cs="AvantGarde-Demi"/>
          <w:lang w:eastAsia="de-DE"/>
        </w:rPr>
        <w:t>Feederverkehr</w:t>
      </w:r>
      <w:proofErr w:type="spellEnd"/>
      <w:r>
        <w:rPr>
          <w:rFonts w:cs="AvantGarde-Demi"/>
          <w:lang w:eastAsia="de-DE"/>
        </w:rPr>
        <w:t xml:space="preserve"> oder Direktanlauf, </w:t>
      </w:r>
      <w:r>
        <w:rPr>
          <w:rFonts w:cs="AvantGarde-Demi"/>
          <w:lang w:eastAsia="de-DE"/>
        </w:rPr>
        <w:br/>
      </w:r>
      <w:hyperlink r:id="rId2" w:history="1">
        <w:r>
          <w:rPr>
            <w:rStyle w:val="Hyperlink"/>
          </w:rPr>
          <w:t>http:/www.ihk-ostbrandenburg.de/res.php?id=9124</w:t>
        </w:r>
      </w:hyperlink>
    </w:p>
  </w:footnote>
  <w:footnote w:id="5">
    <w:p w:rsidR="002B79C9" w:rsidRDefault="002B79C9">
      <w:pPr>
        <w:pStyle w:val="Funotentext"/>
      </w:pPr>
      <w:r>
        <w:rPr>
          <w:rStyle w:val="Funotenzeichen"/>
        </w:rPr>
        <w:footnoteRef/>
      </w:r>
      <w:r>
        <w:t xml:space="preserve"> „Alles </w:t>
      </w:r>
      <w:proofErr w:type="spellStart"/>
      <w:r>
        <w:t>Öko</w:t>
      </w:r>
      <w:proofErr w:type="spellEnd"/>
      <w:r>
        <w:t xml:space="preserve"> auf dem Traumschiff“, Sendereihe 45 Min., 26.01.2015, Film im NDR-Fernsehen, 22:00 Uhr.</w:t>
      </w:r>
    </w:p>
  </w:footnote>
  <w:footnote w:id="6">
    <w:p w:rsidR="002B79C9" w:rsidRDefault="002B79C9" w:rsidP="00372010">
      <w:pPr>
        <w:pStyle w:val="Funotentext"/>
        <w:ind w:left="142" w:hanging="142"/>
        <w:jc w:val="left"/>
      </w:pPr>
      <w:r>
        <w:rPr>
          <w:rStyle w:val="Funotenzeichen"/>
        </w:rPr>
        <w:footnoteRef/>
      </w:r>
      <w:r>
        <w:t xml:space="preserve"> Umweltbundesamt Österreich, PM2,5, auf der folgenden Internetseite einsehbar </w:t>
      </w:r>
      <w:hyperlink r:id="rId3" w:history="1">
        <w:r w:rsidRPr="00372010">
          <w:rPr>
            <w:rStyle w:val="Hyperlink"/>
          </w:rPr>
          <w:t>http://www.umweltbundesamt.at/umweltschutz/luft/luftschadstoffe/staub/pm25/</w:t>
        </w:r>
      </w:hyperlink>
    </w:p>
  </w:footnote>
  <w:footnote w:id="7">
    <w:p w:rsidR="002B79C9" w:rsidRDefault="002B79C9" w:rsidP="00372010">
      <w:pPr>
        <w:pStyle w:val="Funotentext"/>
      </w:pPr>
      <w:r>
        <w:rPr>
          <w:rStyle w:val="Funotenzeichen"/>
        </w:rPr>
        <w:footnoteRef/>
      </w:r>
      <w:r>
        <w:t xml:space="preserve"> Schriftliche Kleine Anfrage in der Hamburgischen Bürgerschaft, Gesundheitsbelastungen aus Schiffsabgasen, Drucksache 20-14297 vom 23.01.2015</w:t>
      </w:r>
    </w:p>
  </w:footnote>
  <w:footnote w:id="8">
    <w:p w:rsidR="002B79C9" w:rsidRDefault="002B79C9">
      <w:pPr>
        <w:pStyle w:val="Funotentext"/>
      </w:pPr>
      <w:r>
        <w:rPr>
          <w:rStyle w:val="Funotenzeichen"/>
        </w:rPr>
        <w:footnoteRef/>
      </w:r>
      <w:r>
        <w:t xml:space="preserve"> </w:t>
      </w:r>
      <w:r w:rsidRPr="006706E6">
        <w:t xml:space="preserve">. </w:t>
      </w:r>
      <w:r>
        <w:t>„</w:t>
      </w:r>
      <w:r w:rsidRPr="006706E6">
        <w:t xml:space="preserve">Wissenswertes über </w:t>
      </w:r>
      <w:proofErr w:type="spellStart"/>
      <w:r w:rsidRPr="006706E6">
        <w:t>tieffrequenten</w:t>
      </w:r>
      <w:proofErr w:type="spellEnd"/>
      <w:r w:rsidRPr="006706E6">
        <w:t xml:space="preserve"> Schall – Messungen und Bewertung </w:t>
      </w:r>
      <w:proofErr w:type="spellStart"/>
      <w:r w:rsidRPr="006706E6">
        <w:t>tieffrequenter</w:t>
      </w:r>
      <w:proofErr w:type="spellEnd"/>
      <w:r w:rsidRPr="006706E6">
        <w:t xml:space="preserve"> Geräuschimmissi</w:t>
      </w:r>
      <w:r w:rsidRPr="006706E6">
        <w:t>o</w:t>
      </w:r>
      <w:r w:rsidRPr="006706E6">
        <w:t xml:space="preserve">nen in der Nachbarschaft – DIN 45680, </w:t>
      </w:r>
      <w:r>
        <w:t>Internets</w:t>
      </w:r>
      <w:r w:rsidRPr="006706E6">
        <w:t xml:space="preserve">eite des Umweltbundesamts zum Thema </w:t>
      </w:r>
      <w:proofErr w:type="spellStart"/>
      <w:r w:rsidRPr="006706E6">
        <w:t>Tieffrequente</w:t>
      </w:r>
      <w:proofErr w:type="spellEnd"/>
      <w:r w:rsidRPr="006706E6">
        <w:t xml:space="preserve"> G</w:t>
      </w:r>
      <w:r w:rsidRPr="006706E6">
        <w:t>e</w:t>
      </w:r>
      <w:r w:rsidRPr="006706E6">
        <w:t>räusche)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A8C" w:rsidRDefault="00F26A8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9C9" w:rsidRDefault="002B79C9">
    <w:pPr>
      <w:pStyle w:val="Kopfzeile"/>
      <w:jc w:val="right"/>
    </w:pPr>
    <w:r>
      <w:t xml:space="preserve">Seite </w:t>
    </w:r>
    <w:fldSimple w:instr=" PAGE   \* MERGEFORMAT ">
      <w:r w:rsidR="00A46A3B">
        <w:rPr>
          <w:noProof/>
        </w:rPr>
        <w:t>12</w:t>
      </w:r>
    </w:fldSimple>
  </w:p>
  <w:p w:rsidR="002B79C9" w:rsidRDefault="002B79C9">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A8C" w:rsidRDefault="00F26A8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522"/>
    <w:multiLevelType w:val="hybridMultilevel"/>
    <w:tmpl w:val="F2788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6E63B1"/>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423C2F76"/>
    <w:multiLevelType w:val="hybridMultilevel"/>
    <w:tmpl w:val="FF32D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D4306A"/>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46CF45D1"/>
    <w:multiLevelType w:val="hybridMultilevel"/>
    <w:tmpl w:val="4D20215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7FB3D8E"/>
    <w:multiLevelType w:val="hybridMultilevel"/>
    <w:tmpl w:val="CD1AE120"/>
    <w:lvl w:ilvl="0" w:tplc="B4968990">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52EA1050"/>
    <w:multiLevelType w:val="hybridMultilevel"/>
    <w:tmpl w:val="C0145A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66F91C28"/>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772F2346"/>
    <w:multiLevelType w:val="hybridMultilevel"/>
    <w:tmpl w:val="CD1AE120"/>
    <w:lvl w:ilvl="0" w:tplc="B4968990">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79527FA1"/>
    <w:multiLevelType w:val="hybridMultilevel"/>
    <w:tmpl w:val="C0145A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4"/>
  </w:num>
  <w:num w:numId="4">
    <w:abstractNumId w:val="5"/>
  </w:num>
  <w:num w:numId="5">
    <w:abstractNumId w:val="2"/>
  </w:num>
  <w:num w:numId="6">
    <w:abstractNumId w:val="6"/>
  </w:num>
  <w:num w:numId="7">
    <w:abstractNumId w:val="3"/>
  </w:num>
  <w:num w:numId="8">
    <w:abstractNumId w:val="1"/>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08"/>
  <w:autoHyphenation/>
  <w:hyphenationZone w:val="425"/>
  <w:characterSpacingControl w:val="doNotCompress"/>
  <w:hdrShapeDefaults>
    <o:shapedefaults v:ext="edit" spidmax="4098"/>
  </w:hdrShapeDefaults>
  <w:footnotePr>
    <w:footnote w:id="-1"/>
    <w:footnote w:id="0"/>
  </w:footnotePr>
  <w:endnotePr>
    <w:endnote w:id="-1"/>
    <w:endnote w:id="0"/>
  </w:endnotePr>
  <w:compat/>
  <w:rsids>
    <w:rsidRoot w:val="00617DB1"/>
    <w:rsid w:val="00050DAA"/>
    <w:rsid w:val="00062B01"/>
    <w:rsid w:val="000915D6"/>
    <w:rsid w:val="000B7147"/>
    <w:rsid w:val="000C67B4"/>
    <w:rsid w:val="000D16A8"/>
    <w:rsid w:val="000E56BE"/>
    <w:rsid w:val="0010428C"/>
    <w:rsid w:val="00115DC6"/>
    <w:rsid w:val="00117067"/>
    <w:rsid w:val="001275FA"/>
    <w:rsid w:val="001C5CC9"/>
    <w:rsid w:val="001E4E00"/>
    <w:rsid w:val="001F770E"/>
    <w:rsid w:val="0021491B"/>
    <w:rsid w:val="002149FF"/>
    <w:rsid w:val="00225E81"/>
    <w:rsid w:val="00277A59"/>
    <w:rsid w:val="00291747"/>
    <w:rsid w:val="002B79C9"/>
    <w:rsid w:val="002D0616"/>
    <w:rsid w:val="002D4A93"/>
    <w:rsid w:val="002F7E06"/>
    <w:rsid w:val="00335FF6"/>
    <w:rsid w:val="00336F33"/>
    <w:rsid w:val="00343AC7"/>
    <w:rsid w:val="00372010"/>
    <w:rsid w:val="003806C0"/>
    <w:rsid w:val="00391C17"/>
    <w:rsid w:val="003D5C4A"/>
    <w:rsid w:val="003F55F0"/>
    <w:rsid w:val="0043622A"/>
    <w:rsid w:val="00482787"/>
    <w:rsid w:val="00486751"/>
    <w:rsid w:val="004A6D07"/>
    <w:rsid w:val="00510A29"/>
    <w:rsid w:val="00533EC9"/>
    <w:rsid w:val="00553626"/>
    <w:rsid w:val="00577B88"/>
    <w:rsid w:val="005D41A5"/>
    <w:rsid w:val="005E44B8"/>
    <w:rsid w:val="005F67D0"/>
    <w:rsid w:val="00617DB1"/>
    <w:rsid w:val="006376F9"/>
    <w:rsid w:val="00645EEF"/>
    <w:rsid w:val="006706E6"/>
    <w:rsid w:val="00696269"/>
    <w:rsid w:val="006B19EB"/>
    <w:rsid w:val="006B2630"/>
    <w:rsid w:val="007440E5"/>
    <w:rsid w:val="00781665"/>
    <w:rsid w:val="0079320A"/>
    <w:rsid w:val="007A3AE5"/>
    <w:rsid w:val="007A71CE"/>
    <w:rsid w:val="007E0B55"/>
    <w:rsid w:val="007E1330"/>
    <w:rsid w:val="007E4279"/>
    <w:rsid w:val="00815533"/>
    <w:rsid w:val="00835BE6"/>
    <w:rsid w:val="00853DF8"/>
    <w:rsid w:val="0085586F"/>
    <w:rsid w:val="00855A97"/>
    <w:rsid w:val="008732AC"/>
    <w:rsid w:val="008959BA"/>
    <w:rsid w:val="009320B9"/>
    <w:rsid w:val="00947103"/>
    <w:rsid w:val="00951D8F"/>
    <w:rsid w:val="00997325"/>
    <w:rsid w:val="009B314C"/>
    <w:rsid w:val="009D6439"/>
    <w:rsid w:val="009E3840"/>
    <w:rsid w:val="00A005CD"/>
    <w:rsid w:val="00A21A7B"/>
    <w:rsid w:val="00A3486A"/>
    <w:rsid w:val="00A46A3B"/>
    <w:rsid w:val="00A50553"/>
    <w:rsid w:val="00AC3E65"/>
    <w:rsid w:val="00AC5CB9"/>
    <w:rsid w:val="00AE3723"/>
    <w:rsid w:val="00B0782F"/>
    <w:rsid w:val="00B1417C"/>
    <w:rsid w:val="00BA395C"/>
    <w:rsid w:val="00BB1A9E"/>
    <w:rsid w:val="00BC38D5"/>
    <w:rsid w:val="00BE2F57"/>
    <w:rsid w:val="00C15113"/>
    <w:rsid w:val="00C542FE"/>
    <w:rsid w:val="00C60296"/>
    <w:rsid w:val="00C60C67"/>
    <w:rsid w:val="00C8272F"/>
    <w:rsid w:val="00C92593"/>
    <w:rsid w:val="00CB029C"/>
    <w:rsid w:val="00CB079F"/>
    <w:rsid w:val="00D20444"/>
    <w:rsid w:val="00D20AC3"/>
    <w:rsid w:val="00D20BDE"/>
    <w:rsid w:val="00D35325"/>
    <w:rsid w:val="00D92A63"/>
    <w:rsid w:val="00D94F28"/>
    <w:rsid w:val="00DD6AB9"/>
    <w:rsid w:val="00E17014"/>
    <w:rsid w:val="00E311D9"/>
    <w:rsid w:val="00E3303D"/>
    <w:rsid w:val="00E46F94"/>
    <w:rsid w:val="00E52114"/>
    <w:rsid w:val="00E702E0"/>
    <w:rsid w:val="00E92499"/>
    <w:rsid w:val="00EE0159"/>
    <w:rsid w:val="00EF6A84"/>
    <w:rsid w:val="00F04518"/>
    <w:rsid w:val="00F26A8C"/>
    <w:rsid w:val="00FA7F0E"/>
    <w:rsid w:val="00FB713B"/>
    <w:rsid w:val="00FC35A8"/>
    <w:rsid w:val="00FD58C1"/>
    <w:rsid w:val="00FF7A0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713B"/>
    <w:pPr>
      <w:jc w:val="both"/>
    </w:pPr>
    <w:rPr>
      <w:lang w:eastAsia="en-US"/>
    </w:rPr>
  </w:style>
  <w:style w:type="paragraph" w:styleId="berschrift1">
    <w:name w:val="heading 1"/>
    <w:basedOn w:val="Standard"/>
    <w:link w:val="berschrift1Zchn"/>
    <w:uiPriority w:val="99"/>
    <w:qFormat/>
    <w:rsid w:val="006376F9"/>
    <w:pPr>
      <w:spacing w:before="100" w:beforeAutospacing="1" w:after="100" w:afterAutospacing="1"/>
      <w:jc w:val="left"/>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376F9"/>
    <w:rPr>
      <w:rFonts w:ascii="Times New Roman" w:hAnsi="Times New Roman" w:cs="Times New Roman"/>
      <w:b/>
      <w:bCs/>
      <w:kern w:val="36"/>
      <w:sz w:val="48"/>
      <w:szCs w:val="48"/>
      <w:lang w:eastAsia="de-DE"/>
    </w:rPr>
  </w:style>
  <w:style w:type="paragraph" w:styleId="Funotentext">
    <w:name w:val="footnote text"/>
    <w:basedOn w:val="Standard"/>
    <w:link w:val="FunotentextZchn"/>
    <w:uiPriority w:val="99"/>
    <w:rsid w:val="00E311D9"/>
    <w:pPr>
      <w:ind w:left="284" w:hanging="284"/>
    </w:pPr>
    <w:rPr>
      <w:rFonts w:eastAsia="Times New Roman"/>
      <w:sz w:val="20"/>
      <w:szCs w:val="20"/>
      <w:lang w:eastAsia="de-DE"/>
    </w:rPr>
  </w:style>
  <w:style w:type="character" w:customStyle="1" w:styleId="FunotentextZchn">
    <w:name w:val="Fußnotentext Zchn"/>
    <w:basedOn w:val="Absatz-Standardschriftart"/>
    <w:link w:val="Funotentext"/>
    <w:uiPriority w:val="99"/>
    <w:locked/>
    <w:rsid w:val="00E311D9"/>
    <w:rPr>
      <w:rFonts w:ascii="Calibri" w:hAnsi="Calibri" w:cs="Times New Roman"/>
      <w:sz w:val="20"/>
      <w:szCs w:val="20"/>
      <w:lang w:eastAsia="de-DE"/>
    </w:rPr>
  </w:style>
  <w:style w:type="character" w:styleId="Funotenzeichen">
    <w:name w:val="footnote reference"/>
    <w:basedOn w:val="Absatz-Standardschriftart"/>
    <w:uiPriority w:val="99"/>
    <w:rsid w:val="00E311D9"/>
    <w:rPr>
      <w:rFonts w:cs="Times New Roman"/>
      <w:vertAlign w:val="superscript"/>
    </w:rPr>
  </w:style>
  <w:style w:type="paragraph" w:styleId="KeinLeerraum">
    <w:name w:val="No Spacing"/>
    <w:aliases w:val="Antwort HHfdE"/>
    <w:basedOn w:val="Standard"/>
    <w:next w:val="Standard"/>
    <w:autoRedefine/>
    <w:uiPriority w:val="99"/>
    <w:qFormat/>
    <w:rsid w:val="00A21A7B"/>
    <w:rPr>
      <w:rFonts w:ascii="Times New Roman" w:hAnsi="Times New Roman"/>
    </w:rPr>
  </w:style>
  <w:style w:type="paragraph" w:styleId="StandardWeb">
    <w:name w:val="Normal (Web)"/>
    <w:basedOn w:val="Standard"/>
    <w:uiPriority w:val="99"/>
    <w:semiHidden/>
    <w:rsid w:val="006376F9"/>
    <w:pPr>
      <w:spacing w:before="100" w:beforeAutospacing="1" w:after="100" w:afterAutospacing="1"/>
      <w:jc w:val="left"/>
    </w:pPr>
    <w:rPr>
      <w:rFonts w:ascii="Times New Roman" w:eastAsia="Times New Roman" w:hAnsi="Times New Roman"/>
      <w:sz w:val="24"/>
      <w:szCs w:val="24"/>
      <w:lang w:eastAsia="de-DE"/>
    </w:rPr>
  </w:style>
  <w:style w:type="paragraph" w:styleId="Kopfzeile">
    <w:name w:val="header"/>
    <w:basedOn w:val="Standard"/>
    <w:link w:val="KopfzeileZchn"/>
    <w:uiPriority w:val="99"/>
    <w:rsid w:val="006376F9"/>
    <w:pPr>
      <w:tabs>
        <w:tab w:val="center" w:pos="4536"/>
        <w:tab w:val="right" w:pos="9072"/>
      </w:tabs>
    </w:pPr>
  </w:style>
  <w:style w:type="character" w:customStyle="1" w:styleId="KopfzeileZchn">
    <w:name w:val="Kopfzeile Zchn"/>
    <w:basedOn w:val="Absatz-Standardschriftart"/>
    <w:link w:val="Kopfzeile"/>
    <w:uiPriority w:val="99"/>
    <w:locked/>
    <w:rsid w:val="006376F9"/>
    <w:rPr>
      <w:rFonts w:cs="Times New Roman"/>
    </w:rPr>
  </w:style>
  <w:style w:type="paragraph" w:styleId="Fuzeile">
    <w:name w:val="footer"/>
    <w:basedOn w:val="Standard"/>
    <w:link w:val="FuzeileZchn"/>
    <w:uiPriority w:val="99"/>
    <w:semiHidden/>
    <w:rsid w:val="006376F9"/>
    <w:pPr>
      <w:tabs>
        <w:tab w:val="center" w:pos="4536"/>
        <w:tab w:val="right" w:pos="9072"/>
      </w:tabs>
    </w:pPr>
  </w:style>
  <w:style w:type="character" w:customStyle="1" w:styleId="FuzeileZchn">
    <w:name w:val="Fußzeile Zchn"/>
    <w:basedOn w:val="Absatz-Standardschriftart"/>
    <w:link w:val="Fuzeile"/>
    <w:uiPriority w:val="99"/>
    <w:semiHidden/>
    <w:locked/>
    <w:rsid w:val="006376F9"/>
    <w:rPr>
      <w:rFonts w:cs="Times New Roman"/>
    </w:rPr>
  </w:style>
  <w:style w:type="paragraph" w:customStyle="1" w:styleId="Default">
    <w:name w:val="Default"/>
    <w:uiPriority w:val="99"/>
    <w:rsid w:val="00A50553"/>
    <w:pPr>
      <w:autoSpaceDE w:val="0"/>
      <w:autoSpaceDN w:val="0"/>
      <w:adjustRightInd w:val="0"/>
    </w:pPr>
    <w:rPr>
      <w:rFonts w:cs="Calibri"/>
      <w:color w:val="000000"/>
      <w:sz w:val="24"/>
      <w:szCs w:val="24"/>
      <w:lang w:eastAsia="en-US"/>
    </w:rPr>
  </w:style>
  <w:style w:type="character" w:styleId="Hyperlink">
    <w:name w:val="Hyperlink"/>
    <w:basedOn w:val="Absatz-Standardschriftart"/>
    <w:uiPriority w:val="99"/>
    <w:rsid w:val="00A50553"/>
    <w:rPr>
      <w:rFonts w:cs="Times New Roman"/>
      <w:color w:val="0000FF"/>
      <w:u w:val="single"/>
    </w:rPr>
  </w:style>
  <w:style w:type="paragraph" w:styleId="Listenabsatz">
    <w:name w:val="List Paragraph"/>
    <w:basedOn w:val="Standard"/>
    <w:uiPriority w:val="99"/>
    <w:qFormat/>
    <w:rsid w:val="00CB079F"/>
    <w:pPr>
      <w:ind w:left="720"/>
      <w:contextualSpacing/>
    </w:pPr>
  </w:style>
  <w:style w:type="character" w:styleId="BesuchterHyperlink">
    <w:name w:val="FollowedHyperlink"/>
    <w:basedOn w:val="Absatz-Standardschriftart"/>
    <w:uiPriority w:val="99"/>
    <w:semiHidden/>
    <w:rsid w:val="000E56B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90841324">
      <w:marLeft w:val="0"/>
      <w:marRight w:val="0"/>
      <w:marTop w:val="0"/>
      <w:marBottom w:val="0"/>
      <w:divBdr>
        <w:top w:val="none" w:sz="0" w:space="0" w:color="auto"/>
        <w:left w:val="none" w:sz="0" w:space="0" w:color="auto"/>
        <w:bottom w:val="none" w:sz="0" w:space="0" w:color="auto"/>
        <w:right w:val="none" w:sz="0" w:space="0" w:color="auto"/>
      </w:divBdr>
    </w:div>
    <w:div w:id="190841325">
      <w:marLeft w:val="0"/>
      <w:marRight w:val="0"/>
      <w:marTop w:val="0"/>
      <w:marBottom w:val="0"/>
      <w:divBdr>
        <w:top w:val="none" w:sz="0" w:space="0" w:color="auto"/>
        <w:left w:val="none" w:sz="0" w:space="0" w:color="auto"/>
        <w:bottom w:val="none" w:sz="0" w:space="0" w:color="auto"/>
        <w:right w:val="none" w:sz="0" w:space="0" w:color="auto"/>
      </w:divBdr>
    </w:div>
    <w:div w:id="190841326">
      <w:marLeft w:val="0"/>
      <w:marRight w:val="0"/>
      <w:marTop w:val="0"/>
      <w:marBottom w:val="0"/>
      <w:divBdr>
        <w:top w:val="none" w:sz="0" w:space="0" w:color="auto"/>
        <w:left w:val="none" w:sz="0" w:space="0" w:color="auto"/>
        <w:bottom w:val="none" w:sz="0" w:space="0" w:color="auto"/>
        <w:right w:val="none" w:sz="0" w:space="0" w:color="auto"/>
      </w:divBdr>
    </w:div>
    <w:div w:id="190841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mweltbundesamt.at/umweltschutz/luft/luftschadstoffe/staub/pm25/" TargetMode="External"/><Relationship Id="rId2" Type="http://schemas.openxmlformats.org/officeDocument/2006/relationships/hyperlink" Target="http://www.ihk-ostbrandenburg.de/res.php?id=9124" TargetMode="External"/><Relationship Id="rId1" Type="http://schemas.openxmlformats.org/officeDocument/2006/relationships/hyperlink" Target="http://www.statistik-nord.de/daten/verkehr-umwelt-und-energie/monatsza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9365</Words>
  <Characters>59003</Characters>
  <Application>Microsoft Office Word</Application>
  <DocSecurity>0</DocSecurity>
  <Lines>491</Lines>
  <Paragraphs>136</Paragraphs>
  <ScaleCrop>false</ScaleCrop>
  <LinksUpToDate>false</LinksUpToDate>
  <CharactersWithSpaces>68232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2015-02-10T20:36:00Z</dcterms:created>
  <dcterms:modified xsi:type="dcterms:W3CDTF">2015-02-10T20:36:00Z</dcterms:modified>
</cp:coreProperties>
</file>